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黑体" w:hAnsi="黑体" w:eastAsia="黑体" w:cs="黑体"/>
          <w:sz w:val="44"/>
          <w:szCs w:val="44"/>
          <w:lang w:eastAsia="zh-CN"/>
        </w:rPr>
      </w:pPr>
      <w:r>
        <w:rPr>
          <w:rFonts w:hint="eastAsia" w:ascii="黑体" w:hAnsi="黑体" w:eastAsia="黑体" w:cs="黑体"/>
          <w:sz w:val="44"/>
          <w:szCs w:val="44"/>
        </w:rPr>
        <w:t>邵阳市红旗渠污水厂扩建提标、管网改造及修复和雨溪片区雨污分流调水工程专项资金绩效评价报告</w:t>
      </w:r>
    </w:p>
    <w:p>
      <w:pPr>
        <w:rPr>
          <w:rFonts w:hint="eastAsia"/>
        </w:rPr>
      </w:pPr>
    </w:p>
    <w:p>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按照邵阳市财政局关于开展2021年度项目资金绩效评价工作的部署，根据《地方政府专项债务预算管理办法》（财预〔2016〕155号）、《地方政府专项债券项目资金绩效管理办法》（财预〔2021〕61号）、《湖南省政府债务项目绩效管理暂行办法》（湘财绩〔2020〕12号）的有关规定及市财政局审定的绩效评价指标，依据邵阳市城市管理和综合执法局（以下简称市城管局）及邵阳市环卫基础设施建设有限公司（以下简称市环卫设建公司）提供的相关资料，遵循“科学性、规范性、客观性和公正性”的原则，对邵阳市红旗渠污水厂扩建提标、管网改造及修复和雨溪片区雨污分流调水工程专项资金进行绩效评价。评价组采取听取项目介绍，核查资金与项目资料，现场勘查以及问卷调研等多种方式，确立评价指标与标准，并综合分析形成评价结论。现将评价情况及评价结果报告如下：</w:t>
      </w:r>
    </w:p>
    <w:p>
      <w:pPr>
        <w:spacing w:line="560" w:lineRule="exact"/>
        <w:ind w:firstLine="602" w:firstLineChars="200"/>
        <w:rPr>
          <w:rFonts w:hint="eastAsia" w:ascii="仿宋" w:hAnsi="仿宋" w:eastAsia="黑体" w:cs="仿宋"/>
          <w:b/>
          <w:bCs/>
          <w:sz w:val="30"/>
          <w:szCs w:val="30"/>
          <w:lang w:eastAsia="zh-CN"/>
        </w:rPr>
      </w:pPr>
      <w:r>
        <w:rPr>
          <w:rFonts w:hint="eastAsia" w:ascii="黑体" w:hAnsi="黑体" w:eastAsia="黑体" w:cs="黑体"/>
          <w:b/>
          <w:bCs/>
          <w:sz w:val="30"/>
          <w:szCs w:val="30"/>
        </w:rPr>
        <w:t>一、项目支出基本情况</w:t>
      </w:r>
    </w:p>
    <w:p>
      <w:pPr>
        <w:spacing w:line="560" w:lineRule="exact"/>
        <w:ind w:firstLine="602" w:firstLineChars="200"/>
        <w:rPr>
          <w:rFonts w:hint="eastAsia" w:ascii="仿宋" w:hAnsi="仿宋" w:eastAsia="仿宋" w:cs="仿宋"/>
          <w:b/>
          <w:bCs/>
          <w:sz w:val="30"/>
          <w:szCs w:val="30"/>
          <w:lang w:eastAsia="zh-CN"/>
        </w:rPr>
      </w:pPr>
      <w:r>
        <w:rPr>
          <w:rFonts w:hint="eastAsia" w:ascii="仿宋" w:hAnsi="仿宋" w:eastAsia="仿宋" w:cs="仿宋"/>
          <w:b/>
          <w:bCs/>
          <w:sz w:val="30"/>
          <w:szCs w:val="30"/>
        </w:rPr>
        <w:t>（一）项目立项情况</w:t>
      </w:r>
    </w:p>
    <w:p>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湖南省资江犬木塘水库建成蓄水后，资江水位长期位于215.0m，雨季时将更高，雨溪片区、梅子井片区和珑湖片区雨水系统直排口将部分处于淹没出流，排水不畅，会对雨水系统产生较大影响。且正常蓄水位会淹没兔石洲污水泵站-梅子井污水泵站-珑湖污水泵站3座泵站之间的2段压力输送管道，影响污水压力管道的检修、排气和排泥等。同时邵阳洋溪桥污水处理厂目前实际处理量已超过设计最大日处理能力的20%，已经面临处理能力不足的尴尬局面。为平衡厂网规模，确保服务区域污水全收集、零排放，保障污水管网正常运行，并将梅子井和珑湖片区污水分流至红旗渠污水厂。根据邵阳市总体规划、各专项规划以及邵阳市的实际情况，2020年市环卫设建公司计划实施邵阳市大祥区南片区雨污分流及红旗渠污水处理厂调水工程，并进行了项目可研、建设用地审查、可研评审、申报财政资金等前期准备工作，2020年9月上报《关于邵阳市大祥区南片区雨污分流及红旗渠污水处理厂调水工程项目立项的请示》至邵阳市发改委，市发改委于同年9月11日作出批复，同意实施项目建设。改造雨溪、梅子井和珑湖片区市政道路管网雨污分流管网,适量新建和改造一体化污水泵站。项目估算总投资12,218.41万元,其中:建设工程费用为9,996.50万元,其他费用1,020.24万元，预备费1,101.67万元。资金来源为2020年第二批政府专项债券安排项目资金6,800万元，其余部分通过争取中央预算内资金和项目单位自筹解决。项目实施时间为18个月。</w:t>
      </w:r>
    </w:p>
    <w:p>
      <w:pPr>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一期概算投资5,447.04万元，建安造价约3,620.87万元，新建高级技工学校一体化泵站（3000m³/d，污水总变化系数Kz=1.84）；改造珑湖污水泵站（27000m³/d，污水总变化系数Kz=1.48）；新建高级技工学校一体化泵站至市政污水管网污水压力管，管径DN300mm，管长约1.0km；新建珑湖污水提升泵站至红旗渠污水处理厂污水压力管，管径DN720mm（孔径DN700mm），管长约6.0km。二期概算投资5,037.39万元，建安造价约3,509.95万，主要建设内容为：新建珑湖片区污水重力自流管网，管径为DN400-DN800，管长约为2.76km；新建珑湖片区雨水边沟1条，位于雪峰路，断面尺寸为500mm×500mm(H)，长度约为0.66km；新建梅子井片区污水重力自流管网，新建管道主要位于学院路、梅子井路、兔石州路、邵阳学院内部，管径为DN500-DN800，管长约为3.1km。</w:t>
      </w:r>
    </w:p>
    <w:p>
      <w:pPr>
        <w:spacing w:line="560" w:lineRule="exact"/>
        <w:ind w:firstLine="602" w:firstLineChars="200"/>
        <w:rPr>
          <w:rFonts w:hint="eastAsia" w:ascii="仿宋" w:hAnsi="仿宋" w:eastAsia="仿宋" w:cs="仿宋"/>
          <w:sz w:val="30"/>
          <w:szCs w:val="30"/>
          <w:lang w:eastAsia="zh-CN"/>
        </w:rPr>
      </w:pPr>
      <w:r>
        <w:rPr>
          <w:rFonts w:hint="eastAsia" w:ascii="仿宋" w:hAnsi="仿宋" w:eastAsia="仿宋" w:cs="仿宋"/>
          <w:b/>
          <w:bCs/>
          <w:sz w:val="30"/>
          <w:szCs w:val="30"/>
        </w:rPr>
        <w:t>（二）项目资金使用管理情况。</w:t>
      </w:r>
    </w:p>
    <w:p>
      <w:pPr>
        <w:spacing w:line="560" w:lineRule="exact"/>
        <w:ind w:firstLine="602" w:firstLineChars="200"/>
        <w:rPr>
          <w:rFonts w:hint="eastAsia" w:ascii="仿宋" w:hAnsi="仿宋" w:eastAsia="仿宋" w:cs="仿宋"/>
          <w:sz w:val="30"/>
          <w:szCs w:val="30"/>
          <w:lang w:eastAsia="zh-CN"/>
        </w:rPr>
      </w:pPr>
      <w:r>
        <w:rPr>
          <w:rFonts w:hint="eastAsia" w:ascii="楷体" w:hAnsi="楷体" w:eastAsia="楷体" w:cs="楷体"/>
          <w:b/>
          <w:bCs/>
          <w:sz w:val="30"/>
          <w:szCs w:val="30"/>
        </w:rPr>
        <w:t>1、资金到位情况。</w:t>
      </w:r>
      <w:r>
        <w:rPr>
          <w:rFonts w:hint="eastAsia" w:ascii="仿宋" w:hAnsi="仿宋" w:eastAsia="仿宋" w:cs="仿宋"/>
          <w:sz w:val="30"/>
          <w:szCs w:val="30"/>
        </w:rPr>
        <w:t>本项目获批发行邵阳市2020年水务建设专项债券6,800万元。2020年7月30日，市财政通过预算内存款户拨付项目专项债券资金3,300万元至项目实施单位市环卫设建公司，7月31日拨付3,500万元专项债券资金，项目专项资金全部按时到位。</w:t>
      </w:r>
    </w:p>
    <w:p>
      <w:pPr>
        <w:spacing w:line="560" w:lineRule="exact"/>
        <w:ind w:firstLine="602" w:firstLineChars="200"/>
        <w:rPr>
          <w:rFonts w:hint="eastAsia" w:ascii="仿宋" w:hAnsi="仿宋" w:eastAsia="仿宋" w:cs="仿宋"/>
          <w:sz w:val="30"/>
          <w:szCs w:val="30"/>
        </w:rPr>
      </w:pPr>
      <w:r>
        <w:rPr>
          <w:rFonts w:hint="eastAsia" w:ascii="楷体" w:hAnsi="楷体" w:eastAsia="楷体" w:cs="楷体"/>
          <w:b/>
          <w:bCs/>
          <w:sz w:val="30"/>
          <w:szCs w:val="30"/>
        </w:rPr>
        <w:t>2、项目组织实施单位。</w:t>
      </w:r>
      <w:r>
        <w:rPr>
          <w:rFonts w:hint="eastAsia" w:ascii="仿宋" w:hAnsi="仿宋" w:eastAsia="仿宋" w:cs="仿宋"/>
          <w:sz w:val="30"/>
          <w:szCs w:val="30"/>
        </w:rPr>
        <w:t>市城管局为本项目主管部门，给排水科负责组织协调和管理项目；市环卫设建公司为本项目实施单位，公司指派技术力量雄厚的专业人员负责项目推进，项目的组织机构健全，人员安排比较到位。</w:t>
      </w:r>
    </w:p>
    <w:p>
      <w:pPr>
        <w:spacing w:line="560" w:lineRule="exact"/>
        <w:ind w:firstLine="602" w:firstLineChars="200"/>
        <w:rPr>
          <w:rFonts w:hint="eastAsia" w:ascii="仿宋" w:hAnsi="仿宋" w:eastAsia="仿宋" w:cs="仿宋"/>
          <w:sz w:val="30"/>
          <w:szCs w:val="30"/>
          <w:lang w:eastAsia="zh-CN"/>
        </w:rPr>
      </w:pPr>
      <w:r>
        <w:rPr>
          <w:rFonts w:hint="eastAsia" w:ascii="楷体" w:hAnsi="楷体" w:eastAsia="楷体" w:cs="楷体"/>
          <w:b/>
          <w:bCs/>
          <w:sz w:val="30"/>
          <w:szCs w:val="30"/>
        </w:rPr>
        <w:t>3、项目制度建设。</w:t>
      </w:r>
      <w:r>
        <w:rPr>
          <w:rFonts w:hint="eastAsia" w:ascii="仿宋" w:hAnsi="仿宋" w:eastAsia="仿宋" w:cs="仿宋"/>
          <w:sz w:val="30"/>
          <w:szCs w:val="30"/>
        </w:rPr>
        <w:t>市城管局制定了财务管理制度、固定资产管理制度、工程质量管理制度、专项资金管理等制度，资金使用与资产管理制度、措施比较齐全；但缺乏从项目立项、设计、招投标、建设、验收、绩效评价等全过程的一些制度。</w:t>
      </w:r>
    </w:p>
    <w:p>
      <w:pPr>
        <w:spacing w:line="560" w:lineRule="exact"/>
        <w:ind w:firstLine="602" w:firstLineChars="200"/>
        <w:rPr>
          <w:rFonts w:hint="eastAsia" w:ascii="仿宋" w:hAnsi="仿宋" w:eastAsia="仿宋" w:cs="仿宋"/>
          <w:sz w:val="30"/>
          <w:szCs w:val="30"/>
        </w:rPr>
      </w:pPr>
      <w:r>
        <w:rPr>
          <w:rFonts w:hint="eastAsia" w:ascii="楷体" w:hAnsi="楷体" w:eastAsia="楷体" w:cs="楷体"/>
          <w:b/>
          <w:bCs/>
          <w:sz w:val="30"/>
          <w:szCs w:val="30"/>
        </w:rPr>
        <w:t>4、项目资金使用。</w:t>
      </w:r>
      <w:r>
        <w:rPr>
          <w:rFonts w:hint="eastAsia" w:ascii="仿宋" w:hAnsi="仿宋" w:eastAsia="仿宋" w:cs="仿宋"/>
          <w:sz w:val="30"/>
          <w:szCs w:val="30"/>
        </w:rPr>
        <w:t>项目单位按照专项债资金管理要求，科学运用资金，合理规避资金使用风险。（1）加强资金储存管理。开设建设银行（尾号0239）、广发银行（尾号0256）两个账户，储存专项债券资金，项目资金支出目前通过广发账号，未发现“小金库”、账外设账等违规违法现象。（2）实行专账核算。本项目资金支出全部通过“待摊投资-建筑安装工程投资-建设施工支出-污水处理厂提标改造项目”核算，收入全部通过“银行存款-建设银行（广发银行）”核算，债券资金收支与余额可通过银行流水与银行存款明细账查询，信息一目了然。（3）支付审批手续较到位，审批流程合适。一是参与项目管理的有关人员需要把关签字，确认项目工程的真实性、工程进度与款项支付的相关性；二是按照单位审批流程，依次由经办人、证明人提供开支依据并签字→科室负责人审批→项目负责人审批→分管局领导审批→财务副局长审批→局长审批→财务报销或支付。三是实行项目单位与财政双控资金。项目单位履行债券资金使用审批手续后，需按管理要求再向财政局债务科提出书面支付申请，待批准后按审批意见支付款项。</w:t>
      </w:r>
    </w:p>
    <w:p>
      <w:pPr>
        <w:spacing w:line="560" w:lineRule="exact"/>
        <w:ind w:firstLine="602" w:firstLineChars="200"/>
      </w:pPr>
      <w:r>
        <w:rPr>
          <w:rFonts w:hint="eastAsia" w:ascii="楷体" w:hAnsi="楷体" w:eastAsia="楷体" w:cs="楷体"/>
          <w:b/>
          <w:bCs/>
          <w:sz w:val="30"/>
          <w:szCs w:val="30"/>
        </w:rPr>
        <w:t>5、项目资金投向。</w:t>
      </w:r>
      <w:r>
        <w:rPr>
          <w:rFonts w:hint="eastAsia" w:ascii="仿宋" w:hAnsi="仿宋" w:eastAsia="仿宋" w:cs="仿宋"/>
          <w:sz w:val="30"/>
          <w:szCs w:val="30"/>
        </w:rPr>
        <w:t>经查2020年7月至2022年8月项目支出，汇总整理分类支出如下：</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1" w:type="dxa"/>
          </w:tcPr>
          <w:p>
            <w:pPr>
              <w:spacing w:line="560" w:lineRule="exact"/>
              <w:rPr>
                <w:rFonts w:hint="eastAsia" w:ascii="仿宋" w:hAnsi="仿宋" w:eastAsia="仿宋" w:cs="仿宋"/>
                <w:sz w:val="30"/>
                <w:szCs w:val="30"/>
                <w:vertAlign w:val="baseline"/>
              </w:rPr>
            </w:pPr>
            <w:r>
              <w:rPr>
                <w:rFonts w:hint="eastAsia" w:ascii="仿宋" w:hAnsi="仿宋" w:eastAsia="仿宋" w:cs="仿宋"/>
                <w:sz w:val="30"/>
                <w:szCs w:val="30"/>
              </w:rPr>
              <w:t>专项债券资金使用项目</w:t>
            </w:r>
          </w:p>
        </w:tc>
        <w:tc>
          <w:tcPr>
            <w:tcW w:w="4261" w:type="dxa"/>
          </w:tcPr>
          <w:p>
            <w:pPr>
              <w:spacing w:line="560" w:lineRule="exact"/>
              <w:rPr>
                <w:rFonts w:hint="eastAsia" w:ascii="仿宋" w:hAnsi="仿宋" w:eastAsia="仿宋" w:cs="仿宋"/>
                <w:sz w:val="30"/>
                <w:szCs w:val="30"/>
                <w:vertAlign w:val="baseline"/>
              </w:rPr>
            </w:pPr>
            <w:r>
              <w:rPr>
                <w:rFonts w:hint="eastAsia" w:ascii="仿宋" w:hAnsi="仿宋" w:eastAsia="仿宋" w:cs="仿宋"/>
                <w:sz w:val="30"/>
                <w:szCs w:val="30"/>
              </w:rPr>
              <w:t>支出金额（元）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261" w:type="dxa"/>
          </w:tcPr>
          <w:p>
            <w:pPr>
              <w:spacing w:line="560" w:lineRule="exact"/>
              <w:rPr>
                <w:rFonts w:hint="eastAsia" w:ascii="仿宋" w:hAnsi="仿宋" w:eastAsia="仿宋" w:cs="仿宋"/>
                <w:sz w:val="30"/>
                <w:szCs w:val="30"/>
                <w:vertAlign w:val="baseline"/>
              </w:rPr>
            </w:pPr>
            <w:r>
              <w:rPr>
                <w:rFonts w:hint="eastAsia" w:ascii="仿宋" w:hAnsi="仿宋" w:eastAsia="仿宋" w:cs="仿宋"/>
                <w:sz w:val="30"/>
                <w:szCs w:val="30"/>
              </w:rPr>
              <w:t>工程造价咨询费</w:t>
            </w:r>
          </w:p>
        </w:tc>
        <w:tc>
          <w:tcPr>
            <w:tcW w:w="4261" w:type="dxa"/>
          </w:tcPr>
          <w:p>
            <w:pPr>
              <w:spacing w:line="560" w:lineRule="exact"/>
              <w:rPr>
                <w:rFonts w:hint="eastAsia" w:ascii="仿宋" w:hAnsi="仿宋" w:eastAsia="仿宋" w:cs="仿宋"/>
                <w:sz w:val="30"/>
                <w:szCs w:val="30"/>
                <w:vertAlign w:val="baseline"/>
                <w:lang w:eastAsia="zh-CN"/>
              </w:rPr>
            </w:pPr>
            <w:r>
              <w:rPr>
                <w:rFonts w:hint="eastAsia" w:ascii="仿宋" w:hAnsi="仿宋" w:eastAsia="仿宋" w:cs="仿宋"/>
                <w:sz w:val="30"/>
                <w:szCs w:val="30"/>
              </w:rPr>
              <w:t>91,220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261" w:type="dxa"/>
          </w:tcPr>
          <w:p>
            <w:pPr>
              <w:spacing w:line="560" w:lineRule="exact"/>
              <w:rPr>
                <w:rFonts w:hint="eastAsia" w:ascii="仿宋" w:hAnsi="仿宋" w:eastAsia="仿宋" w:cs="仿宋"/>
                <w:sz w:val="30"/>
                <w:szCs w:val="30"/>
              </w:rPr>
            </w:pPr>
            <w:r>
              <w:rPr>
                <w:rFonts w:hint="eastAsia" w:ascii="仿宋" w:hAnsi="仿宋" w:eastAsia="仿宋" w:cs="仿宋"/>
                <w:sz w:val="30"/>
                <w:szCs w:val="30"/>
              </w:rPr>
              <w:t>勘察设计费</w:t>
            </w:r>
          </w:p>
        </w:tc>
        <w:tc>
          <w:tcPr>
            <w:tcW w:w="4261" w:type="dxa"/>
          </w:tcPr>
          <w:p>
            <w:pPr>
              <w:spacing w:line="560" w:lineRule="exact"/>
              <w:rPr>
                <w:rFonts w:hint="eastAsia" w:ascii="仿宋" w:hAnsi="仿宋" w:eastAsia="仿宋" w:cs="仿宋"/>
                <w:sz w:val="30"/>
                <w:szCs w:val="30"/>
              </w:rPr>
            </w:pPr>
            <w:r>
              <w:rPr>
                <w:rFonts w:hint="eastAsia" w:ascii="仿宋" w:hAnsi="仿宋" w:eastAsia="仿宋" w:cs="仿宋"/>
                <w:sz w:val="30"/>
                <w:szCs w:val="30"/>
              </w:rPr>
              <w:t>2,048,800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261" w:type="dxa"/>
          </w:tcPr>
          <w:p>
            <w:pPr>
              <w:spacing w:line="560" w:lineRule="exact"/>
              <w:rPr>
                <w:rFonts w:hint="eastAsia" w:ascii="仿宋" w:hAnsi="仿宋" w:eastAsia="仿宋" w:cs="仿宋"/>
                <w:sz w:val="30"/>
                <w:szCs w:val="30"/>
              </w:rPr>
            </w:pPr>
            <w:r>
              <w:rPr>
                <w:rFonts w:hint="eastAsia" w:ascii="仿宋" w:hAnsi="仿宋" w:eastAsia="仿宋" w:cs="仿宋"/>
                <w:sz w:val="30"/>
                <w:szCs w:val="30"/>
              </w:rPr>
              <w:t>项目设计费</w:t>
            </w:r>
          </w:p>
        </w:tc>
        <w:tc>
          <w:tcPr>
            <w:tcW w:w="4261" w:type="dxa"/>
          </w:tcPr>
          <w:p>
            <w:pPr>
              <w:spacing w:line="560" w:lineRule="exact"/>
              <w:rPr>
                <w:rFonts w:hint="eastAsia" w:ascii="仿宋" w:hAnsi="仿宋" w:eastAsia="仿宋" w:cs="仿宋"/>
                <w:sz w:val="30"/>
                <w:szCs w:val="30"/>
              </w:rPr>
            </w:pPr>
            <w:r>
              <w:rPr>
                <w:rFonts w:hint="eastAsia" w:ascii="仿宋" w:hAnsi="仿宋" w:eastAsia="仿宋" w:cs="仿宋"/>
                <w:sz w:val="30"/>
                <w:szCs w:val="30"/>
              </w:rPr>
              <w:t>1,515,800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261" w:type="dxa"/>
          </w:tcPr>
          <w:p>
            <w:pPr>
              <w:spacing w:line="560" w:lineRule="exact"/>
              <w:rPr>
                <w:rFonts w:hint="eastAsia" w:ascii="仿宋" w:hAnsi="仿宋" w:eastAsia="仿宋" w:cs="仿宋"/>
                <w:sz w:val="30"/>
                <w:szCs w:val="30"/>
              </w:rPr>
            </w:pPr>
            <w:r>
              <w:rPr>
                <w:rFonts w:hint="eastAsia" w:ascii="仿宋" w:hAnsi="仿宋" w:eastAsia="仿宋" w:cs="仿宋"/>
                <w:sz w:val="30"/>
                <w:szCs w:val="30"/>
              </w:rPr>
              <w:t>工程监理费</w:t>
            </w:r>
          </w:p>
        </w:tc>
        <w:tc>
          <w:tcPr>
            <w:tcW w:w="4261" w:type="dxa"/>
          </w:tcPr>
          <w:p>
            <w:pPr>
              <w:spacing w:line="560" w:lineRule="exact"/>
              <w:rPr>
                <w:rFonts w:hint="eastAsia" w:ascii="仿宋" w:hAnsi="仿宋" w:eastAsia="仿宋" w:cs="仿宋"/>
                <w:sz w:val="30"/>
                <w:szCs w:val="30"/>
              </w:rPr>
            </w:pPr>
            <w:r>
              <w:rPr>
                <w:rFonts w:hint="eastAsia" w:ascii="仿宋" w:hAnsi="仿宋" w:eastAsia="仿宋" w:cs="仿宋"/>
                <w:sz w:val="30"/>
                <w:szCs w:val="30"/>
              </w:rPr>
              <w:t>680,052.46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261" w:type="dxa"/>
          </w:tcPr>
          <w:p>
            <w:pPr>
              <w:spacing w:line="560" w:lineRule="exact"/>
              <w:rPr>
                <w:rFonts w:hint="eastAsia" w:ascii="仿宋" w:hAnsi="仿宋" w:eastAsia="仿宋" w:cs="仿宋"/>
                <w:sz w:val="30"/>
                <w:szCs w:val="30"/>
              </w:rPr>
            </w:pPr>
            <w:r>
              <w:rPr>
                <w:rFonts w:hint="eastAsia" w:ascii="仿宋" w:hAnsi="仿宋" w:eastAsia="仿宋" w:cs="仿宋"/>
                <w:sz w:val="30"/>
                <w:szCs w:val="30"/>
              </w:rPr>
              <w:t>建筑安装施工</w:t>
            </w:r>
          </w:p>
        </w:tc>
        <w:tc>
          <w:tcPr>
            <w:tcW w:w="4261" w:type="dxa"/>
          </w:tcPr>
          <w:p>
            <w:pPr>
              <w:spacing w:line="560" w:lineRule="exact"/>
              <w:rPr>
                <w:rFonts w:hint="eastAsia" w:ascii="仿宋" w:hAnsi="仿宋" w:eastAsia="仿宋" w:cs="仿宋"/>
                <w:sz w:val="30"/>
                <w:szCs w:val="30"/>
              </w:rPr>
            </w:pPr>
            <w:r>
              <w:rPr>
                <w:rFonts w:hint="eastAsia" w:ascii="仿宋" w:hAnsi="仿宋" w:eastAsia="仿宋" w:cs="仿宋"/>
                <w:sz w:val="30"/>
                <w:szCs w:val="30"/>
              </w:rPr>
              <w:t>34,519,756.00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261" w:type="dxa"/>
          </w:tcPr>
          <w:p>
            <w:pPr>
              <w:spacing w:line="560" w:lineRule="exact"/>
              <w:rPr>
                <w:rFonts w:hint="eastAsia" w:ascii="仿宋" w:hAnsi="仿宋" w:eastAsia="仿宋" w:cs="仿宋"/>
                <w:sz w:val="30"/>
                <w:szCs w:val="30"/>
              </w:rPr>
            </w:pPr>
            <w:r>
              <w:rPr>
                <w:rFonts w:hint="eastAsia" w:ascii="仿宋" w:hAnsi="仿宋" w:eastAsia="仿宋" w:cs="仿宋"/>
                <w:sz w:val="30"/>
                <w:szCs w:val="30"/>
              </w:rPr>
              <w:t>合计</w:t>
            </w:r>
          </w:p>
        </w:tc>
        <w:tc>
          <w:tcPr>
            <w:tcW w:w="4261" w:type="dxa"/>
          </w:tcPr>
          <w:p>
            <w:pPr>
              <w:spacing w:line="560" w:lineRule="exact"/>
              <w:rPr>
                <w:rFonts w:hint="eastAsia" w:ascii="仿宋" w:hAnsi="仿宋" w:eastAsia="仿宋" w:cs="仿宋"/>
                <w:sz w:val="30"/>
                <w:szCs w:val="30"/>
              </w:rPr>
            </w:pPr>
            <w:r>
              <w:rPr>
                <w:rFonts w:hint="eastAsia" w:ascii="仿宋" w:hAnsi="仿宋" w:eastAsia="仿宋" w:cs="仿宋"/>
                <w:sz w:val="30"/>
                <w:szCs w:val="30"/>
              </w:rPr>
              <w:t>38,855,628.46</w:t>
            </w:r>
          </w:p>
        </w:tc>
      </w:tr>
    </w:tbl>
    <w:p>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以上支出基本上属于项目工程款及必要的项目前期设计等费用，资金投向结构较为合理。项目一期工程于2021年8月竣工，2021年8月投产，项目款支付与工程进度匹配度有待提高，款项支付有所滞后。</w:t>
      </w:r>
    </w:p>
    <w:p>
      <w:pPr>
        <w:spacing w:line="560" w:lineRule="exact"/>
        <w:ind w:firstLine="602" w:firstLineChars="200"/>
        <w:rPr>
          <w:rFonts w:hint="eastAsia" w:ascii="仿宋" w:hAnsi="仿宋" w:eastAsia="仿宋" w:cs="仿宋"/>
          <w:sz w:val="30"/>
          <w:szCs w:val="30"/>
          <w:lang w:eastAsia="zh-CN"/>
        </w:rPr>
      </w:pPr>
      <w:r>
        <w:rPr>
          <w:rFonts w:hint="eastAsia" w:ascii="楷体" w:hAnsi="楷体" w:eastAsia="楷体" w:cs="楷体"/>
          <w:b/>
          <w:bCs/>
          <w:sz w:val="30"/>
          <w:szCs w:val="30"/>
        </w:rPr>
        <w:t>6、项目组织实施过程。</w:t>
      </w:r>
      <w:r>
        <w:rPr>
          <w:rFonts w:hint="eastAsia" w:ascii="仿宋" w:hAnsi="仿宋" w:eastAsia="仿宋" w:cs="仿宋"/>
          <w:sz w:val="30"/>
          <w:szCs w:val="30"/>
        </w:rPr>
        <w:t>2</w:t>
      </w:r>
      <w:r>
        <w:rPr>
          <w:rFonts w:hint="eastAsia" w:ascii="仿宋" w:hAnsi="仿宋" w:eastAsia="仿宋" w:cs="仿宋"/>
          <w:sz w:val="30"/>
          <w:szCs w:val="30"/>
        </w:rPr>
        <w:t>020年8月，项目完成可研报告编制；2020年月市环卫设建公司申请本项目立项，市发改委于同年9月11日批复同意；为筹集项目建设资金，同意发行2020年水务建设项目专项债券6,800万元，2020年5月市财政局和市城管局组织编写了《湖南省邵阳市2020年水务建设专项债券项目预期收益与融资平衡方案》，由湖南天平正大有限责任会计师事务所出具了项目专项债券收益与融资自求平衡审核报告，由湖南泓锐律师事务所出具了专项债券发行之法律意见书，项目“一案两书”齐全；2020年8月，邵阳市自然资源和规划局下发项目建设用地审查意见；2020年9月，项目获得邵阳市住房和城乡建设局《关于邵阳市大祥区南片区雨污分流及红旗渠污水处理厂调水工程建设项目初步设计的批复》（邵建发〔2020〕135号）。由于项目未取得土地权证，至今未办理项目《建设用地规划许可证》《建设工程规划许可证》《建设工程施工许可证》及环评等手续。项目一期由湖南省沙坪建设有限公司、湖南省建筑设计院有限公司联合中标，二期由湖南志鹏建设集团有限公司中标，项目监理单位是湖南明泰项目管理有限公司。施工合同签订后，项目单位、监理单位、施工单位三方一起进行了技术交底等工作衔接，各单位根据项目需要组织精干力量，进行了合理分工，明确了职权职责。项目开工后，项目单位根据相关法规和合同条款，充分赋予监理单位在工程质量、开停工的建议权、发布权及监督、检验权。三方单位定期聚集召开工作例会，总结工作，指出不足，完善整改措施，并由监理单位整理成会议纪要，存档保存。监理单位每日做好工作日志，发现问题及时通知施工单位整改，并做好旁站计录，登记安全隐患台账。每月编写监理月报，报告内容包括项目工程概况、工程进度、工程安全质量监理情况、存在问题及处置情况、人员履职和安全文明施工等。发现并整改安全隐患、质量隐患数十起。通过三方共同努力，目前项目一期已完工,经验收投产运行，二期正在施工中。项目建设过程中建设内容调整较大。一是红旗渠污水厂属北京首创子公司，扩建提标工程由该厂自行出资实施，不应列入本项目资金支出范围；二是放弃高级技工学校一体化泵站(3000m³/d)建设，主要是原定于圣地亚哥小区的建设用地未落实；三是取消高级技工学校一体化泵站至市政污水管网1.0km污水压力管（管径DN300mm）。</w:t>
      </w:r>
    </w:p>
    <w:p>
      <w:pPr>
        <w:spacing w:line="560" w:lineRule="exact"/>
        <w:ind w:firstLine="602" w:firstLineChars="200"/>
        <w:rPr>
          <w:rFonts w:hint="eastAsia" w:ascii="仿宋" w:hAnsi="仿宋" w:eastAsia="仿宋" w:cs="仿宋"/>
          <w:sz w:val="30"/>
          <w:szCs w:val="30"/>
          <w:lang w:eastAsia="zh-CN"/>
        </w:rPr>
      </w:pPr>
      <w:r>
        <w:rPr>
          <w:rFonts w:hint="eastAsia" w:ascii="仿宋" w:hAnsi="仿宋" w:eastAsia="仿宋" w:cs="仿宋"/>
          <w:b/>
          <w:bCs/>
          <w:sz w:val="30"/>
          <w:szCs w:val="30"/>
        </w:rPr>
        <w:t>（三）项目绩效目标。</w:t>
      </w:r>
      <w:r>
        <w:rPr>
          <w:rFonts w:hint="eastAsia" w:ascii="仿宋" w:hAnsi="仿宋" w:eastAsia="仿宋" w:cs="仿宋"/>
          <w:sz w:val="30"/>
          <w:szCs w:val="30"/>
        </w:rPr>
        <w:t>项目单位未编制预算绩效目标，根据市发改委对项目可研的批复（邵市发改投〔2020〕303号）对项目建设相关要求，将项目主要工作任务归纳为以下绩效指标：产出数量：完成雨溪、梅子井、珑湖片区市政道路管网雨污分流改造36.8km，新建高级技工学校一体化泵站（3000m³/d）、雨溪片区一体化泵站（5000m³/d）和湘中幼专一体化泵站（1500m³/d），改造珑湖污水泵站（40000m³/d)。产出质量：项目建设技术指标应符合《工程施工质量验收规范》要求，工程质量标准为合格。产出时效：项目实施时间为18个月。一期2021年5月竣工，二期2022年9月竣工。产出成本：12,218.41万元。项目效益：项目通过建设和完善区域内的雨污水主次干管及相关基础配套设施，逐步实现雨污分流，提高污水收集率和污水进厂浓度，提升污水处理厂效能，项目结合初期雨水治理、海绵城市建设、黑臭水体治理和排水防涝等其他相关工程措施，控制污染物排放总量，改善城市水环境质量，改善区域内居民的生活环境，推进城市可持续发展。</w:t>
      </w:r>
    </w:p>
    <w:p>
      <w:pPr>
        <w:spacing w:line="560" w:lineRule="exact"/>
        <w:ind w:firstLine="602" w:firstLineChars="200"/>
        <w:rPr>
          <w:rFonts w:hint="eastAsia" w:ascii="仿宋" w:hAnsi="仿宋" w:eastAsia="仿宋" w:cs="仿宋"/>
          <w:sz w:val="30"/>
          <w:szCs w:val="30"/>
          <w:lang w:val="en-US" w:eastAsia="zh-CN"/>
        </w:rPr>
      </w:pPr>
      <w:r>
        <w:rPr>
          <w:rFonts w:hint="eastAsia" w:ascii="仿宋" w:hAnsi="仿宋" w:eastAsia="仿宋" w:cs="仿宋"/>
          <w:b/>
          <w:bCs/>
          <w:sz w:val="30"/>
          <w:szCs w:val="30"/>
        </w:rPr>
        <w:t>（四）项目绩效目标完成情况。</w:t>
      </w:r>
      <w:r>
        <w:rPr>
          <w:rFonts w:hint="eastAsia" w:ascii="仿宋" w:hAnsi="仿宋" w:eastAsia="仿宋" w:cs="仿宋"/>
          <w:sz w:val="30"/>
          <w:szCs w:val="30"/>
        </w:rPr>
        <w:t>截止2022年8月10日，项目共支付工程款38,855,628.46元，预算完成率为57.14%，项目一期已竣工验收并投产，工程质量符合要求。一期工程的完工优化了我市污水处理的效能,缓解了洋溪桥污水处理厂的超负荷运行,提高了红旗渠污水处理厂的处理效能。二期项目正在进行，预计2022年度可完工，目前约完成项目工程量的80%。</w:t>
      </w:r>
    </w:p>
    <w:p>
      <w:pPr>
        <w:spacing w:line="560" w:lineRule="exact"/>
        <w:ind w:firstLine="602" w:firstLineChars="200"/>
        <w:rPr>
          <w:rFonts w:hint="eastAsia" w:ascii="仿宋" w:hAnsi="仿宋" w:eastAsia="黑体" w:cs="仿宋"/>
          <w:sz w:val="30"/>
          <w:szCs w:val="30"/>
          <w:lang w:eastAsia="zh-CN"/>
        </w:rPr>
      </w:pPr>
      <w:r>
        <w:rPr>
          <w:rFonts w:hint="eastAsia" w:ascii="黑体" w:hAnsi="黑体" w:eastAsia="黑体" w:cs="黑体"/>
          <w:b/>
          <w:bCs/>
          <w:sz w:val="30"/>
          <w:szCs w:val="30"/>
          <w:lang w:val="en-US" w:eastAsia="zh-CN"/>
        </w:rPr>
        <w:t>二、</w:t>
      </w:r>
      <w:r>
        <w:rPr>
          <w:rFonts w:hint="eastAsia" w:ascii="黑体" w:hAnsi="黑体" w:eastAsia="黑体" w:cs="黑体"/>
          <w:b/>
          <w:bCs/>
          <w:sz w:val="30"/>
          <w:szCs w:val="30"/>
        </w:rPr>
        <w:t>绩</w:t>
      </w:r>
      <w:r>
        <w:rPr>
          <w:rFonts w:hint="eastAsia" w:ascii="黑体" w:hAnsi="黑体" w:eastAsia="黑体" w:cs="黑体"/>
          <w:b/>
          <w:bCs/>
          <w:sz w:val="30"/>
          <w:szCs w:val="30"/>
        </w:rPr>
        <w:t>效评价工作情况</w:t>
      </w:r>
    </w:p>
    <w:p>
      <w:pPr>
        <w:spacing w:line="560" w:lineRule="exact"/>
        <w:ind w:firstLine="602" w:firstLineChars="200"/>
        <w:rPr>
          <w:rFonts w:hint="eastAsia" w:ascii="仿宋" w:hAnsi="仿宋" w:eastAsia="仿宋" w:cs="仿宋"/>
          <w:b/>
          <w:bCs/>
          <w:sz w:val="30"/>
          <w:szCs w:val="30"/>
          <w:lang w:eastAsia="zh-CN"/>
        </w:rPr>
      </w:pPr>
      <w:r>
        <w:rPr>
          <w:rFonts w:hint="eastAsia" w:ascii="仿宋" w:hAnsi="仿宋" w:eastAsia="仿宋" w:cs="仿宋"/>
          <w:b/>
          <w:bCs/>
          <w:sz w:val="30"/>
          <w:szCs w:val="30"/>
        </w:rPr>
        <w:t>（一）绩效评价的主要依据</w:t>
      </w:r>
    </w:p>
    <w:p>
      <w:pPr>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1、《中华人民共和国预算法》；</w:t>
      </w:r>
    </w:p>
    <w:p>
      <w:pPr>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2、《中共中央国务院关于全面实施预算绩效管理的意见》（中发〔2018〕34号）；</w:t>
      </w:r>
    </w:p>
    <w:p>
      <w:pPr>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3、财政部《项目支出绩效评价管理办法》（财预〔2020〕10号）；</w:t>
      </w:r>
    </w:p>
    <w:p>
      <w:pPr>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4、中共湖南省委办公厅、湖南省人民政府办公厅《关于全面实施预算绩效管理的实施意见》（湘办发〔2019〕10号）；</w:t>
      </w:r>
    </w:p>
    <w:p>
      <w:pPr>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5、《湖南省财政厅关于印发&lt;湖南省预算绩效目标管理办法&gt;的通知》（湘财绩〔2020〕6号）</w:t>
      </w:r>
      <w:r>
        <w:rPr>
          <w:rFonts w:hint="eastAsia" w:ascii="仿宋" w:hAnsi="仿宋" w:eastAsia="仿宋" w:cs="仿宋"/>
          <w:sz w:val="30"/>
          <w:szCs w:val="30"/>
          <w:lang w:eastAsia="zh-CN"/>
        </w:rPr>
        <w:t>；</w:t>
      </w:r>
    </w:p>
    <w:p>
      <w:pPr>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6、《湖南省财政厅关于印发湖南省预算支出绩效评价管理办法的通知》（湘财绩〔2020〕7号）；</w:t>
      </w:r>
    </w:p>
    <w:p>
      <w:pPr>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7、现行相关政策规定和财务会计制度；</w:t>
      </w:r>
    </w:p>
    <w:p>
      <w:pPr>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8、项目资金的指标文件、预算执行和项目实施的有关材料等；</w:t>
      </w:r>
    </w:p>
    <w:p>
      <w:pPr>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9、项目单位自查材料</w:t>
      </w:r>
    </w:p>
    <w:p>
      <w:pPr>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10、其他涉及债券资金及项目的相关依据。主要包括政府专项债券项目申报资料，审计、财政等有关部门组织开展的政府债券项目实施情况的审计报告或检查报告，专项债券资金收支凭证、账簿、合同等。</w:t>
      </w:r>
    </w:p>
    <w:p>
      <w:pPr>
        <w:spacing w:line="560" w:lineRule="exact"/>
        <w:ind w:firstLine="602" w:firstLineChars="200"/>
        <w:rPr>
          <w:rFonts w:hint="eastAsia" w:ascii="仿宋" w:hAnsi="仿宋" w:eastAsia="仿宋" w:cs="仿宋"/>
          <w:b/>
          <w:bCs/>
          <w:sz w:val="30"/>
          <w:szCs w:val="30"/>
          <w:lang w:eastAsia="zh-CN"/>
        </w:rPr>
      </w:pPr>
      <w:r>
        <w:rPr>
          <w:rFonts w:hint="eastAsia" w:ascii="仿宋" w:hAnsi="仿宋" w:eastAsia="仿宋" w:cs="仿宋"/>
          <w:b/>
          <w:bCs/>
          <w:sz w:val="30"/>
          <w:szCs w:val="30"/>
        </w:rPr>
        <w:t>（二）绩效评价的基本内容</w:t>
      </w:r>
    </w:p>
    <w:p>
      <w:pPr>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绩效评价要反映政府专项债券项目决策、管理、产出和效益，突出专项债券项目资金绩效评价特点，包括以下内容：</w:t>
      </w:r>
    </w:p>
    <w:p>
      <w:pPr>
        <w:spacing w:line="560" w:lineRule="exact"/>
        <w:ind w:firstLine="602" w:firstLineChars="200"/>
        <w:rPr>
          <w:rFonts w:hint="eastAsia" w:ascii="仿宋" w:hAnsi="仿宋" w:eastAsia="仿宋" w:cs="仿宋"/>
          <w:sz w:val="30"/>
          <w:szCs w:val="30"/>
          <w:lang w:eastAsia="zh-CN"/>
        </w:rPr>
      </w:pPr>
      <w:r>
        <w:rPr>
          <w:rFonts w:hint="eastAsia" w:ascii="楷体" w:hAnsi="楷体" w:eastAsia="楷体" w:cs="楷体"/>
          <w:b/>
          <w:bCs/>
          <w:sz w:val="30"/>
          <w:szCs w:val="30"/>
        </w:rPr>
        <w:t>1、决策方面。</w:t>
      </w:r>
      <w:r>
        <w:rPr>
          <w:rFonts w:hint="eastAsia" w:ascii="仿宋" w:hAnsi="仿宋" w:eastAsia="仿宋" w:cs="仿宋"/>
          <w:sz w:val="30"/>
          <w:szCs w:val="30"/>
        </w:rPr>
        <w:t>项目立项批复情况，项目完成勘察、设计、用地、环评、开工许可等前期工作情况，项目符合专项债券支持领域和方向情况，项目“一案两书”编制情况，项目绩效目标设定情况，项目申请专项债券额度与实际需要匹配情况等。</w:t>
      </w:r>
    </w:p>
    <w:p>
      <w:pPr>
        <w:spacing w:line="560" w:lineRule="exact"/>
        <w:ind w:firstLine="602" w:firstLineChars="200"/>
        <w:rPr>
          <w:rFonts w:hint="eastAsia" w:ascii="仿宋" w:hAnsi="仿宋" w:eastAsia="仿宋" w:cs="仿宋"/>
          <w:sz w:val="30"/>
          <w:szCs w:val="30"/>
          <w:lang w:eastAsia="zh-CN"/>
        </w:rPr>
      </w:pPr>
      <w:r>
        <w:rPr>
          <w:rFonts w:hint="eastAsia" w:ascii="楷体" w:hAnsi="楷体" w:eastAsia="楷体" w:cs="楷体"/>
          <w:b/>
          <w:bCs/>
          <w:sz w:val="30"/>
          <w:szCs w:val="30"/>
        </w:rPr>
        <w:t>2、投入管理方面。</w:t>
      </w:r>
      <w:r>
        <w:rPr>
          <w:rFonts w:hint="eastAsia" w:ascii="仿宋" w:hAnsi="仿宋" w:eastAsia="仿宋" w:cs="仿宋"/>
          <w:sz w:val="30"/>
          <w:szCs w:val="30"/>
        </w:rPr>
        <w:t>专项债券收支、还本付息情况；债券资金按规定用途使用情况；资金拨付和支出进度与项目建设进度匹配情况；项目调整情况；项目竣工后资产备案和产权登记情况；专项债券本息偿还计划执行情况；项目收入、成本及预期收益的合理性；专项债券项目信息公开情况，外部监督发现问题整改情况；信息系统使用管理情况；其他财务、采购和管理情况。</w:t>
      </w:r>
    </w:p>
    <w:p>
      <w:pPr>
        <w:spacing w:line="560" w:lineRule="exact"/>
        <w:ind w:firstLine="602" w:firstLineChars="200"/>
        <w:rPr>
          <w:rFonts w:hint="eastAsia" w:ascii="仿宋" w:hAnsi="仿宋" w:eastAsia="仿宋" w:cs="仿宋"/>
          <w:sz w:val="30"/>
          <w:szCs w:val="30"/>
          <w:lang w:eastAsia="zh-CN"/>
        </w:rPr>
      </w:pPr>
      <w:r>
        <w:rPr>
          <w:rFonts w:hint="eastAsia" w:ascii="楷体" w:hAnsi="楷体" w:eastAsia="楷体" w:cs="楷体"/>
          <w:b/>
          <w:bCs/>
          <w:sz w:val="30"/>
          <w:szCs w:val="30"/>
        </w:rPr>
        <w:t>3、产出方面。</w:t>
      </w:r>
      <w:r>
        <w:rPr>
          <w:rFonts w:hint="eastAsia" w:ascii="仿宋" w:hAnsi="仿宋" w:eastAsia="仿宋" w:cs="仿宋"/>
          <w:sz w:val="30"/>
          <w:szCs w:val="30"/>
        </w:rPr>
        <w:t>项目形成资产情况，项目建设质量达标情况，项目建设进度情况，项目建设成本情况，考虑闲置因素后债券资金实际成本情况，项目建成后提供公共产品和服务情况，项目运营成本情况等。</w:t>
      </w:r>
    </w:p>
    <w:p>
      <w:pPr>
        <w:spacing w:line="560" w:lineRule="exact"/>
        <w:ind w:firstLine="602" w:firstLineChars="200"/>
        <w:rPr>
          <w:rFonts w:hint="eastAsia" w:ascii="仿宋" w:hAnsi="仿宋" w:eastAsia="仿宋" w:cs="仿宋"/>
          <w:sz w:val="30"/>
          <w:szCs w:val="30"/>
          <w:lang w:eastAsia="zh-CN"/>
        </w:rPr>
      </w:pPr>
      <w:r>
        <w:rPr>
          <w:rFonts w:hint="eastAsia" w:ascii="楷体" w:hAnsi="楷体" w:eastAsia="楷体" w:cs="楷体"/>
          <w:b/>
          <w:bCs/>
          <w:sz w:val="30"/>
          <w:szCs w:val="30"/>
        </w:rPr>
        <w:t>4、效益方面。</w:t>
      </w:r>
      <w:r>
        <w:rPr>
          <w:rFonts w:hint="eastAsia" w:ascii="仿宋" w:hAnsi="仿宋" w:eastAsia="仿宋" w:cs="仿宋"/>
          <w:sz w:val="30"/>
          <w:szCs w:val="30"/>
        </w:rPr>
        <w:t>项目的经济、社会、生态等综合效益实现情况，项目带动社会有效投资情况，项目支持国家重大区域发展战略情况，项目直接服务对象满意程度等。</w:t>
      </w:r>
    </w:p>
    <w:p>
      <w:pPr>
        <w:spacing w:line="560" w:lineRule="exact"/>
        <w:ind w:firstLine="602" w:firstLineChars="200"/>
        <w:rPr>
          <w:rFonts w:hint="eastAsia" w:ascii="仿宋" w:hAnsi="仿宋" w:eastAsia="仿宋" w:cs="仿宋"/>
          <w:b/>
          <w:bCs/>
          <w:sz w:val="30"/>
          <w:szCs w:val="30"/>
          <w:lang w:eastAsia="zh-CN"/>
        </w:rPr>
      </w:pPr>
      <w:r>
        <w:rPr>
          <w:rFonts w:hint="eastAsia" w:ascii="仿宋" w:hAnsi="仿宋" w:eastAsia="仿宋" w:cs="仿宋"/>
          <w:b/>
          <w:bCs/>
          <w:sz w:val="30"/>
          <w:szCs w:val="30"/>
        </w:rPr>
        <w:t>（三）绩效评价指标体系</w:t>
      </w:r>
    </w:p>
    <w:p>
      <w:pPr>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按照《湖南省财政厅关于印发湖南省预算支出绩效评价管理办法的通知》（湘财绩〔2020〕7号）要求，评价组结合项目具体情况，设计了本项目支出的评价指标体系。指标体系分为共性指标和个性指标两部分，主要包括决策、过程、产出和效益四个维度，每个维度由一级、二级、三级指标构成，满分100分。绩效评价结果分为四个等级：90分（含）—100分为优，80分（含）—90分为良，60分（含）—80分为较差，60分以下为差。</w:t>
      </w:r>
    </w:p>
    <w:p>
      <w:pPr>
        <w:spacing w:line="560" w:lineRule="exact"/>
        <w:ind w:firstLine="602" w:firstLineChars="200"/>
        <w:rPr>
          <w:rFonts w:hint="eastAsia" w:ascii="仿宋" w:hAnsi="仿宋" w:eastAsia="仿宋" w:cs="仿宋"/>
          <w:b/>
          <w:bCs/>
          <w:sz w:val="30"/>
          <w:szCs w:val="30"/>
        </w:rPr>
      </w:pPr>
      <w:r>
        <w:rPr>
          <w:rFonts w:hint="eastAsia" w:ascii="仿宋" w:hAnsi="仿宋" w:eastAsia="仿宋" w:cs="仿宋"/>
          <w:b/>
          <w:bCs/>
          <w:sz w:val="30"/>
          <w:szCs w:val="30"/>
        </w:rPr>
        <w:t>（四）绩效评价的主要方法</w:t>
      </w:r>
    </w:p>
    <w:p>
      <w:pPr>
        <w:spacing w:line="560" w:lineRule="exact"/>
        <w:ind w:firstLine="602" w:firstLineChars="200"/>
        <w:rPr>
          <w:rFonts w:hint="eastAsia" w:ascii="仿宋" w:hAnsi="仿宋" w:eastAsia="仿宋" w:cs="仿宋"/>
          <w:sz w:val="30"/>
          <w:szCs w:val="30"/>
          <w:lang w:eastAsia="zh-CN"/>
        </w:rPr>
      </w:pPr>
      <w:r>
        <w:rPr>
          <w:rFonts w:hint="eastAsia" w:ascii="楷体" w:hAnsi="楷体" w:eastAsia="楷体" w:cs="楷体"/>
          <w:b/>
          <w:bCs/>
          <w:sz w:val="30"/>
          <w:szCs w:val="30"/>
        </w:rPr>
        <w:t>1、目标预定与实施效果比较法。</w:t>
      </w:r>
      <w:r>
        <w:rPr>
          <w:rFonts w:hint="eastAsia" w:ascii="仿宋" w:hAnsi="仿宋" w:eastAsia="仿宋" w:cs="仿宋"/>
          <w:sz w:val="30"/>
          <w:szCs w:val="30"/>
        </w:rPr>
        <w:t>通过比较财政支出所产生的实际结果与预定的目标，分析完成（或未完成）目标的因素，从而评价财政支出绩效。</w:t>
      </w:r>
    </w:p>
    <w:p>
      <w:pPr>
        <w:spacing w:line="560" w:lineRule="exact"/>
        <w:ind w:firstLine="602" w:firstLineChars="200"/>
        <w:rPr>
          <w:rFonts w:hint="eastAsia" w:ascii="仿宋" w:hAnsi="仿宋" w:eastAsia="仿宋" w:cs="仿宋"/>
          <w:sz w:val="30"/>
          <w:szCs w:val="30"/>
          <w:lang w:eastAsia="zh-CN"/>
        </w:rPr>
      </w:pPr>
      <w:r>
        <w:rPr>
          <w:rFonts w:hint="eastAsia" w:ascii="楷体" w:hAnsi="楷体" w:eastAsia="楷体" w:cs="楷体"/>
          <w:b/>
          <w:bCs/>
          <w:sz w:val="30"/>
          <w:szCs w:val="30"/>
        </w:rPr>
        <w:t>2、因素分析法。</w:t>
      </w:r>
      <w:r>
        <w:rPr>
          <w:rFonts w:hint="eastAsia" w:ascii="仿宋" w:hAnsi="仿宋" w:eastAsia="仿宋" w:cs="仿宋"/>
          <w:sz w:val="30"/>
          <w:szCs w:val="30"/>
        </w:rPr>
        <w:t>通过列举分析所有影响收益及成本的内外因素，综合分析评价的方法。本项目评价在项目施工进度和项目施工及运行成本方面需要运用因素分析法，通过运用此方法，找到影响施工进度和运行成本的各种因素，经过综合评价与分析，找到加快施工进度和降低成本的最佳方案。</w:t>
      </w:r>
    </w:p>
    <w:p>
      <w:pPr>
        <w:spacing w:line="560" w:lineRule="exact"/>
        <w:ind w:firstLine="602" w:firstLineChars="200"/>
        <w:rPr>
          <w:rFonts w:hint="eastAsia" w:ascii="仿宋" w:hAnsi="仿宋" w:eastAsia="仿宋" w:cs="仿宋"/>
          <w:sz w:val="30"/>
          <w:szCs w:val="30"/>
          <w:lang w:eastAsia="zh-CN"/>
        </w:rPr>
      </w:pPr>
      <w:r>
        <w:rPr>
          <w:rFonts w:hint="eastAsia" w:ascii="楷体" w:hAnsi="楷体" w:eastAsia="楷体" w:cs="楷体"/>
          <w:b/>
          <w:bCs/>
          <w:sz w:val="30"/>
          <w:szCs w:val="30"/>
        </w:rPr>
        <w:t>3、公众评判法。</w:t>
      </w:r>
      <w:r>
        <w:rPr>
          <w:rFonts w:hint="eastAsia" w:ascii="仿宋" w:hAnsi="仿宋" w:eastAsia="仿宋" w:cs="仿宋"/>
          <w:sz w:val="30"/>
          <w:szCs w:val="30"/>
        </w:rPr>
        <w:t>本项目主要采用专家评议与问卷调查法，通过若干绩效管理领域的专家对财政支出绩效进行分析，同时，设计不同的调查问卷，发给一定数量人员填写，最后汇总分析各方意见进行评价判断。</w:t>
      </w:r>
    </w:p>
    <w:p>
      <w:pPr>
        <w:spacing w:line="560" w:lineRule="exact"/>
        <w:ind w:firstLine="602" w:firstLineChars="200"/>
        <w:rPr>
          <w:rFonts w:hint="eastAsia" w:ascii="仿宋" w:hAnsi="仿宋" w:eastAsia="仿宋" w:cs="仿宋"/>
          <w:b/>
          <w:bCs/>
          <w:sz w:val="30"/>
          <w:szCs w:val="30"/>
        </w:rPr>
      </w:pPr>
      <w:r>
        <w:rPr>
          <w:rFonts w:hint="eastAsia" w:ascii="仿宋" w:hAnsi="仿宋" w:eastAsia="仿宋" w:cs="仿宋"/>
          <w:b/>
          <w:bCs/>
          <w:sz w:val="30"/>
          <w:szCs w:val="30"/>
        </w:rPr>
        <w:t>（五）开展项目现场评价现场评价工作内容主要有：</w:t>
      </w:r>
    </w:p>
    <w:p>
      <w:pPr>
        <w:spacing w:line="560" w:lineRule="exact"/>
        <w:ind w:firstLine="602" w:firstLineChars="200"/>
        <w:rPr>
          <w:rFonts w:hint="eastAsia" w:ascii="仿宋" w:hAnsi="仿宋" w:eastAsia="仿宋" w:cs="仿宋"/>
          <w:sz w:val="30"/>
          <w:szCs w:val="30"/>
        </w:rPr>
      </w:pPr>
      <w:r>
        <w:rPr>
          <w:rFonts w:hint="eastAsia" w:ascii="楷体" w:hAnsi="楷体" w:eastAsia="楷体" w:cs="楷体"/>
          <w:b/>
          <w:bCs/>
          <w:sz w:val="30"/>
          <w:szCs w:val="30"/>
        </w:rPr>
        <w:t>1、核实数据。</w:t>
      </w:r>
      <w:r>
        <w:rPr>
          <w:rFonts w:hint="eastAsia" w:ascii="仿宋" w:hAnsi="仿宋" w:eastAsia="仿宋" w:cs="仿宋"/>
          <w:sz w:val="30"/>
          <w:szCs w:val="30"/>
        </w:rPr>
        <w:t>核实专项债券项目资金收入支出数据的准确性、真实性。重点检查专项债券项目资金支出情况、风险管理及处置情况，运用因素分析法、专家评判法等调查分析方法进行综合分析。</w:t>
      </w:r>
    </w:p>
    <w:p>
      <w:pPr>
        <w:spacing w:line="560" w:lineRule="exact"/>
        <w:ind w:firstLine="602" w:firstLineChars="200"/>
        <w:rPr>
          <w:rFonts w:hint="eastAsia" w:ascii="仿宋" w:hAnsi="仿宋" w:eastAsia="仿宋" w:cs="仿宋"/>
          <w:sz w:val="30"/>
          <w:szCs w:val="30"/>
          <w:lang w:eastAsia="zh-CN"/>
        </w:rPr>
      </w:pPr>
      <w:r>
        <w:rPr>
          <w:rFonts w:hint="eastAsia" w:ascii="楷体" w:hAnsi="楷体" w:eastAsia="楷体" w:cs="楷体"/>
          <w:b/>
          <w:bCs/>
          <w:sz w:val="30"/>
          <w:szCs w:val="30"/>
        </w:rPr>
        <w:t>2、查阅资料。</w:t>
      </w:r>
      <w:r>
        <w:rPr>
          <w:rFonts w:hint="eastAsia" w:ascii="仿宋" w:hAnsi="仿宋" w:eastAsia="仿宋" w:cs="仿宋"/>
          <w:sz w:val="30"/>
          <w:szCs w:val="30"/>
        </w:rPr>
        <w:t>查阅项目预算安排、资金管理、资金运用、项目前期准备、项目施工管理等相关文件资料和财务凭证。</w:t>
      </w:r>
    </w:p>
    <w:p>
      <w:pPr>
        <w:spacing w:line="560" w:lineRule="exact"/>
        <w:ind w:firstLine="602" w:firstLineChars="200"/>
        <w:rPr>
          <w:rFonts w:hint="eastAsia" w:ascii="仿宋" w:hAnsi="仿宋" w:eastAsia="仿宋" w:cs="仿宋"/>
          <w:sz w:val="30"/>
          <w:szCs w:val="30"/>
          <w:lang w:eastAsia="zh-CN"/>
        </w:rPr>
      </w:pPr>
      <w:r>
        <w:rPr>
          <w:rFonts w:hint="eastAsia" w:ascii="楷体" w:hAnsi="楷体" w:eastAsia="楷体" w:cs="楷体"/>
          <w:b/>
          <w:bCs/>
          <w:sz w:val="30"/>
          <w:szCs w:val="30"/>
        </w:rPr>
        <w:t>3、实地查看。</w:t>
      </w:r>
      <w:r>
        <w:rPr>
          <w:rFonts w:hint="eastAsia" w:ascii="仿宋" w:hAnsi="仿宋" w:eastAsia="仿宋" w:cs="仿宋"/>
          <w:sz w:val="30"/>
          <w:szCs w:val="30"/>
        </w:rPr>
        <w:t>现场查看项目施工、进度和质量管理、各方履职情况等。</w:t>
      </w:r>
    </w:p>
    <w:p>
      <w:pPr>
        <w:spacing w:line="560" w:lineRule="exact"/>
        <w:ind w:firstLine="602" w:firstLineChars="200"/>
        <w:rPr>
          <w:rFonts w:hint="eastAsia" w:ascii="仿宋" w:hAnsi="仿宋" w:eastAsia="仿宋" w:cs="仿宋"/>
          <w:sz w:val="30"/>
          <w:szCs w:val="30"/>
          <w:lang w:eastAsia="zh-CN"/>
        </w:rPr>
      </w:pPr>
      <w:r>
        <w:rPr>
          <w:rFonts w:hint="eastAsia" w:ascii="楷体" w:hAnsi="楷体" w:eastAsia="楷体" w:cs="楷体"/>
          <w:b/>
          <w:bCs/>
          <w:sz w:val="30"/>
          <w:szCs w:val="30"/>
        </w:rPr>
        <w:t>4、问卷调查。</w:t>
      </w:r>
      <w:r>
        <w:rPr>
          <w:rFonts w:hint="eastAsia" w:ascii="仿宋" w:hAnsi="仿宋" w:eastAsia="仿宋" w:cs="仿宋"/>
          <w:sz w:val="30"/>
          <w:szCs w:val="30"/>
        </w:rPr>
        <w:t>对项目建设的满意度发放问卷，进行调查。</w:t>
      </w:r>
    </w:p>
    <w:p>
      <w:pPr>
        <w:spacing w:line="560" w:lineRule="exact"/>
        <w:ind w:firstLine="602" w:firstLineChars="200"/>
        <w:rPr>
          <w:rFonts w:hint="eastAsia" w:ascii="仿宋" w:hAnsi="仿宋" w:eastAsia="仿宋" w:cs="仿宋"/>
          <w:sz w:val="30"/>
          <w:szCs w:val="30"/>
        </w:rPr>
      </w:pPr>
      <w:r>
        <w:rPr>
          <w:rFonts w:hint="eastAsia" w:ascii="楷体" w:hAnsi="楷体" w:eastAsia="楷体" w:cs="楷体"/>
          <w:b/>
          <w:bCs/>
          <w:sz w:val="30"/>
          <w:szCs w:val="30"/>
        </w:rPr>
        <w:t>5、综合分析。</w:t>
      </w:r>
      <w:r>
        <w:rPr>
          <w:rFonts w:hint="eastAsia" w:ascii="仿宋" w:hAnsi="仿宋" w:eastAsia="仿宋" w:cs="仿宋"/>
          <w:sz w:val="30"/>
          <w:szCs w:val="30"/>
        </w:rPr>
        <w:t>归纳汇总提供的材料及项目单位的自评报告，结合现场调查情况进行综合分析。</w:t>
      </w:r>
    </w:p>
    <w:p>
      <w:pPr>
        <w:spacing w:line="560" w:lineRule="exact"/>
        <w:ind w:firstLine="602" w:firstLineChars="200"/>
        <w:rPr>
          <w:rFonts w:hint="eastAsia" w:ascii="仿宋" w:hAnsi="仿宋" w:eastAsia="仿宋" w:cs="仿宋"/>
          <w:sz w:val="30"/>
          <w:szCs w:val="30"/>
          <w:lang w:eastAsia="zh-CN"/>
        </w:rPr>
      </w:pPr>
      <w:r>
        <w:rPr>
          <w:rFonts w:hint="eastAsia" w:ascii="楷体" w:hAnsi="楷体" w:eastAsia="楷体" w:cs="楷体"/>
          <w:b/>
          <w:bCs/>
          <w:sz w:val="30"/>
          <w:szCs w:val="30"/>
        </w:rPr>
        <w:t>6、撰写评价报告。</w:t>
      </w:r>
      <w:r>
        <w:rPr>
          <w:rFonts w:hint="eastAsia" w:ascii="仿宋" w:hAnsi="仿宋" w:eastAsia="仿宋" w:cs="仿宋"/>
          <w:sz w:val="30"/>
          <w:szCs w:val="30"/>
        </w:rPr>
        <w:t>评价组依据各项评价指标进行评价和打分，形成绩效评价报告。</w:t>
      </w:r>
    </w:p>
    <w:p>
      <w:pPr>
        <w:spacing w:line="560" w:lineRule="exact"/>
        <w:ind w:firstLine="600" w:firstLineChars="200"/>
        <w:rPr>
          <w:rFonts w:hint="eastAsia" w:ascii="黑体" w:hAnsi="黑体" w:eastAsia="黑体" w:cs="黑体"/>
          <w:sz w:val="30"/>
          <w:szCs w:val="30"/>
          <w:lang w:eastAsia="zh-CN"/>
        </w:rPr>
      </w:pPr>
      <w:r>
        <w:rPr>
          <w:rFonts w:hint="eastAsia" w:ascii="黑体" w:hAnsi="黑体" w:eastAsia="黑体" w:cs="黑体"/>
          <w:sz w:val="30"/>
          <w:szCs w:val="30"/>
        </w:rPr>
        <w:t>三、项目支出主要绩效及评价结论</w:t>
      </w:r>
    </w:p>
    <w:p>
      <w:pPr>
        <w:spacing w:line="560" w:lineRule="exact"/>
        <w:ind w:firstLine="602" w:firstLineChars="200"/>
        <w:rPr>
          <w:rFonts w:hint="eastAsia" w:ascii="仿宋" w:hAnsi="仿宋" w:eastAsia="仿宋" w:cs="仿宋"/>
          <w:b/>
          <w:bCs/>
          <w:sz w:val="30"/>
          <w:szCs w:val="30"/>
          <w:lang w:eastAsia="zh-CN"/>
        </w:rPr>
      </w:pPr>
      <w:r>
        <w:rPr>
          <w:rFonts w:hint="eastAsia" w:ascii="仿宋" w:hAnsi="仿宋" w:eastAsia="仿宋" w:cs="仿宋"/>
          <w:b/>
          <w:bCs/>
          <w:sz w:val="30"/>
          <w:szCs w:val="30"/>
        </w:rPr>
        <w:t>（一）项目主要绩效</w:t>
      </w:r>
    </w:p>
    <w:p>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本项目是一项有综合效益的市政工程，项目实施后，有利于河道防洪安全和生态系统恢复，有利于改善当地生态环境，提升城市品位，提供亲水空间。主要效益包括景观效益、生态效益、土地增值效益等。</w:t>
      </w:r>
    </w:p>
    <w:p>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1、项目实施带来显著的生态环境效益。生态环境效益主要包括:局部空气的净化、环境的美化，涵养水源，保护生物多样性。</w:t>
      </w:r>
    </w:p>
    <w:p>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项目实施带来可观的间接效益。减少水污染可提高工业、农业、水产养殖业等行业的产品质量，增加各行业产品利润；同时减少疾病、增进健康、提高社会劳动生产率、降低医疗费用，提高城市卫生水平、改善城市环境、增加旅游收入。</w:t>
      </w:r>
    </w:p>
    <w:p>
      <w:pPr>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3、项目实施将提升邵阳的土地增值水平。改善区域生态环境，提高整个邵阳市的城市品位，提高相关地块的土地价值。</w:t>
      </w:r>
    </w:p>
    <w:p>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4、项目的实施运营，极大优化了全市污水处理效能。每日转调2万吨污水至红旗渠污水处理厂，有效缓解了洋溪桥污水处理厂超负荷运行的风险，使红旗渠污水厂的生产能力有效利用率提高50个百分点，红旗渠污水厂污水处理量由原4万吨每日提升至现6万吨每日，市本级污水集中收集率也由原来的58.77%提升至70.3%。</w:t>
      </w:r>
    </w:p>
    <w:p>
      <w:pPr>
        <w:spacing w:line="560" w:lineRule="exact"/>
        <w:ind w:firstLine="602" w:firstLineChars="200"/>
        <w:rPr>
          <w:rFonts w:hint="eastAsia" w:ascii="仿宋" w:hAnsi="仿宋" w:eastAsia="仿宋" w:cs="仿宋"/>
          <w:b/>
          <w:bCs/>
          <w:sz w:val="30"/>
          <w:szCs w:val="30"/>
          <w:lang w:eastAsia="zh-CN"/>
        </w:rPr>
      </w:pPr>
      <w:r>
        <w:rPr>
          <w:rFonts w:hint="eastAsia" w:ascii="仿宋" w:hAnsi="仿宋" w:eastAsia="仿宋" w:cs="仿宋"/>
          <w:b/>
          <w:bCs/>
          <w:sz w:val="30"/>
          <w:szCs w:val="30"/>
        </w:rPr>
        <w:t>（二）绩效评价结论</w:t>
      </w:r>
    </w:p>
    <w:p>
      <w:pPr>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经现场调查取证和审核佐证材料，本项目绩效评价评价组综合评定，事务所三级复核，邵阳市红旗渠污水厂扩建提标、管网改造及修复和雨溪片区雨污分流调水工程专项资金绩效评价得分为86.46分，评价等级为“良”（评分详见附件2：邵阳市红旗渠污水厂扩建提标、管网改造及修复和雨溪片区雨污分流调水工程专项资金绩效评价指标及评分表）。</w:t>
      </w:r>
    </w:p>
    <w:p>
      <w:pPr>
        <w:spacing w:line="560" w:lineRule="exact"/>
        <w:ind w:firstLine="600" w:firstLineChars="200"/>
        <w:rPr>
          <w:rFonts w:hint="eastAsia" w:ascii="仿宋" w:hAnsi="仿宋" w:eastAsia="黑体" w:cs="仿宋"/>
          <w:sz w:val="30"/>
          <w:szCs w:val="30"/>
          <w:lang w:eastAsia="zh-CN"/>
        </w:rPr>
      </w:pPr>
      <w:r>
        <w:rPr>
          <w:rFonts w:hint="eastAsia" w:ascii="黑体" w:hAnsi="黑体" w:eastAsia="黑体" w:cs="黑体"/>
          <w:sz w:val="30"/>
          <w:szCs w:val="30"/>
        </w:rPr>
        <w:t>四、绩效评价指标分析</w:t>
      </w:r>
    </w:p>
    <w:p>
      <w:pPr>
        <w:spacing w:line="560" w:lineRule="exact"/>
        <w:ind w:firstLine="602" w:firstLineChars="200"/>
        <w:rPr>
          <w:rFonts w:hint="eastAsia" w:ascii="仿宋" w:hAnsi="仿宋" w:eastAsia="仿宋" w:cs="仿宋"/>
          <w:b/>
          <w:bCs/>
          <w:sz w:val="30"/>
          <w:szCs w:val="30"/>
        </w:rPr>
      </w:pPr>
      <w:r>
        <w:rPr>
          <w:rFonts w:hint="eastAsia" w:ascii="仿宋" w:hAnsi="仿宋" w:eastAsia="仿宋" w:cs="仿宋"/>
          <w:b/>
          <w:bCs/>
          <w:sz w:val="30"/>
          <w:szCs w:val="30"/>
        </w:rPr>
        <w:t>（一）预算支出决策情况项目支出决策包括项目决策过程、绩效目标和资金投入。</w:t>
      </w:r>
    </w:p>
    <w:p>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该项满分为21分，扣7分，得分14分，具体情况如下：</w:t>
      </w:r>
    </w:p>
    <w:p>
      <w:pPr>
        <w:spacing w:line="560" w:lineRule="exact"/>
        <w:ind w:firstLine="602" w:firstLineChars="200"/>
        <w:rPr>
          <w:rFonts w:hint="eastAsia" w:ascii="楷体" w:hAnsi="楷体" w:eastAsia="楷体" w:cs="楷体"/>
          <w:b/>
          <w:bCs/>
          <w:sz w:val="30"/>
          <w:szCs w:val="30"/>
        </w:rPr>
      </w:pPr>
      <w:r>
        <w:rPr>
          <w:rFonts w:hint="eastAsia" w:ascii="楷体" w:hAnsi="楷体" w:eastAsia="楷体" w:cs="楷体"/>
          <w:b/>
          <w:bCs/>
          <w:sz w:val="30"/>
          <w:szCs w:val="30"/>
        </w:rPr>
        <w:t>1、项目决策过程</w:t>
      </w:r>
    </w:p>
    <w:p>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本项目立项符合国家法律法规、邵阳市社会经济发展需要，具有较强的公益性，符合专项债支付范围，符合行业发展规划和政策要求，属于公共财政支持范围；项目中的高级技工学校一体化泵站(3000m³/d)建设未实施，主要是原定于圣地亚哥小区的建设用地未落实，扣1分。</w:t>
      </w:r>
    </w:p>
    <w:p>
      <w:pPr>
        <w:spacing w:line="560" w:lineRule="exact"/>
        <w:ind w:firstLine="602" w:firstLineChars="200"/>
        <w:rPr>
          <w:rFonts w:hint="eastAsia" w:ascii="楷体" w:hAnsi="楷体" w:eastAsia="楷体" w:cs="楷体"/>
          <w:b/>
          <w:bCs/>
          <w:sz w:val="30"/>
          <w:szCs w:val="30"/>
          <w:lang w:eastAsia="zh-CN"/>
        </w:rPr>
      </w:pPr>
      <w:r>
        <w:rPr>
          <w:rFonts w:hint="eastAsia" w:ascii="楷体" w:hAnsi="楷体" w:eastAsia="楷体" w:cs="楷体"/>
          <w:b/>
          <w:bCs/>
          <w:sz w:val="30"/>
          <w:szCs w:val="30"/>
        </w:rPr>
        <w:t>2、绩效目标</w:t>
      </w:r>
    </w:p>
    <w:p>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本项目实际所需资金远大于预算安排资金，除专项债券资金到位外，其他资金尚未落实，扣1分；未编制整体绩效目标和年度绩效目标，也未细化绩效目标指标值，扣3分。</w:t>
      </w:r>
    </w:p>
    <w:p>
      <w:pPr>
        <w:spacing w:line="560" w:lineRule="exact"/>
        <w:ind w:firstLine="602" w:firstLineChars="200"/>
        <w:rPr>
          <w:rFonts w:hint="eastAsia" w:ascii="楷体" w:hAnsi="楷体" w:eastAsia="楷体" w:cs="楷体"/>
          <w:b/>
          <w:bCs/>
          <w:sz w:val="30"/>
          <w:szCs w:val="30"/>
        </w:rPr>
      </w:pPr>
      <w:r>
        <w:rPr>
          <w:rFonts w:hint="eastAsia" w:ascii="楷体" w:hAnsi="楷体" w:eastAsia="楷体" w:cs="楷体"/>
          <w:b/>
          <w:bCs/>
          <w:sz w:val="30"/>
          <w:szCs w:val="30"/>
        </w:rPr>
        <w:t>3、资金投入</w:t>
      </w:r>
    </w:p>
    <w:p>
      <w:pPr>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本项目申请的专项债券额度占总投资的55.65%，其他财政资金未到位，扣1分；项目资金分配额度与项目所需资金不太匹配，导致项目投资出现一定的调整，扣1分。</w:t>
      </w:r>
    </w:p>
    <w:p>
      <w:pPr>
        <w:spacing w:line="560" w:lineRule="exact"/>
        <w:ind w:firstLine="602" w:firstLineChars="200"/>
        <w:rPr>
          <w:rFonts w:hint="eastAsia" w:ascii="仿宋" w:hAnsi="仿宋" w:eastAsia="仿宋" w:cs="仿宋"/>
          <w:b/>
          <w:bCs/>
          <w:sz w:val="30"/>
          <w:szCs w:val="30"/>
          <w:lang w:eastAsia="zh-CN"/>
        </w:rPr>
      </w:pPr>
      <w:r>
        <w:rPr>
          <w:rFonts w:hint="eastAsia" w:ascii="仿宋" w:hAnsi="仿宋" w:eastAsia="仿宋" w:cs="仿宋"/>
          <w:b/>
          <w:bCs/>
          <w:sz w:val="30"/>
          <w:szCs w:val="30"/>
        </w:rPr>
        <w:t>（二）项目执行过程情况</w:t>
      </w:r>
    </w:p>
    <w:p>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项目支出过程包括项目资金管理、项目实施和风险控制。该项满分为38分，扣2.29分，得分34.71分，具体情况如下：</w:t>
      </w:r>
    </w:p>
    <w:p>
      <w:pPr>
        <w:spacing w:line="560" w:lineRule="exact"/>
        <w:ind w:firstLine="602" w:firstLineChars="200"/>
        <w:rPr>
          <w:rFonts w:hint="eastAsia" w:ascii="楷体" w:hAnsi="楷体" w:eastAsia="楷体" w:cs="楷体"/>
          <w:b/>
          <w:bCs/>
          <w:sz w:val="30"/>
          <w:szCs w:val="30"/>
          <w:lang w:eastAsia="zh-CN"/>
        </w:rPr>
      </w:pPr>
      <w:r>
        <w:rPr>
          <w:rFonts w:hint="eastAsia" w:ascii="楷体" w:hAnsi="楷体" w:eastAsia="楷体" w:cs="楷体"/>
          <w:b/>
          <w:bCs/>
          <w:sz w:val="30"/>
          <w:szCs w:val="30"/>
          <w:lang w:val="en-US" w:eastAsia="zh-CN"/>
        </w:rPr>
        <w:t>1、</w:t>
      </w:r>
      <w:r>
        <w:rPr>
          <w:rFonts w:hint="eastAsia" w:ascii="楷体" w:hAnsi="楷体" w:eastAsia="楷体" w:cs="楷体"/>
          <w:b/>
          <w:bCs/>
          <w:sz w:val="30"/>
          <w:szCs w:val="30"/>
        </w:rPr>
        <w:t>资金管理</w:t>
      </w:r>
    </w:p>
    <w:p>
      <w:pPr>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专项债券资金按时足额到位，至2022年7月使用资金3,885.56万元，预算执行率57.14%，扣1.29分；项目制定了具体的资金财务管理办法；对资金收支进行专账核算；资金的拨付有完整审批程序和手续。</w:t>
      </w:r>
    </w:p>
    <w:p>
      <w:pPr>
        <w:spacing w:line="560" w:lineRule="exact"/>
        <w:ind w:firstLine="602" w:firstLineChars="200"/>
        <w:rPr>
          <w:rFonts w:hint="eastAsia" w:ascii="楷体" w:hAnsi="楷体" w:eastAsia="楷体" w:cs="楷体"/>
          <w:b/>
          <w:bCs/>
          <w:sz w:val="30"/>
          <w:szCs w:val="30"/>
          <w:lang w:val="en-US" w:eastAsia="zh-CN"/>
        </w:rPr>
      </w:pPr>
      <w:r>
        <w:rPr>
          <w:rFonts w:hint="eastAsia" w:ascii="楷体" w:hAnsi="楷体" w:eastAsia="楷体" w:cs="楷体"/>
          <w:b/>
          <w:bCs/>
          <w:sz w:val="30"/>
          <w:szCs w:val="30"/>
          <w:lang w:val="en-US" w:eastAsia="zh-CN"/>
        </w:rPr>
        <w:t>2、项目实施</w:t>
      </w:r>
    </w:p>
    <w:p>
      <w:pPr>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项目的实施均遵照工程管理、财务管理制度和文件的要求执行，项目实施的人员条件、场地设备、信息支撑等均落实到位；严格履行政府采购和资产管理流程，及时组织项目整改与验收，认真展开了项目建设工作总结。分项目调整较大，无调整审批手续，扣1分。</w:t>
      </w:r>
    </w:p>
    <w:p>
      <w:pPr>
        <w:spacing w:line="560" w:lineRule="exact"/>
        <w:ind w:firstLine="602" w:firstLineChars="200"/>
        <w:rPr>
          <w:rFonts w:hint="eastAsia" w:ascii="楷体" w:hAnsi="楷体" w:eastAsia="楷体" w:cs="楷体"/>
          <w:b/>
          <w:bCs/>
          <w:sz w:val="30"/>
          <w:szCs w:val="30"/>
          <w:lang w:val="en-US" w:eastAsia="zh-CN"/>
        </w:rPr>
      </w:pPr>
      <w:r>
        <w:rPr>
          <w:rFonts w:hint="eastAsia" w:ascii="楷体" w:hAnsi="楷体" w:eastAsia="楷体" w:cs="楷体"/>
          <w:b/>
          <w:bCs/>
          <w:sz w:val="30"/>
          <w:szCs w:val="30"/>
          <w:lang w:val="en-US" w:eastAsia="zh-CN"/>
        </w:rPr>
        <w:t>3、风险控制</w:t>
      </w:r>
    </w:p>
    <w:p>
      <w:pPr>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项目安全施工，安全运行，未发生债务违约、安全事故、违法违规等风险事故；及时填报债务信息，在专项债券综合管理平台和政府债务监测平台履行信息报送责任。</w:t>
      </w:r>
    </w:p>
    <w:p>
      <w:pPr>
        <w:spacing w:line="560" w:lineRule="exact"/>
        <w:ind w:firstLine="602" w:firstLineChars="200"/>
        <w:rPr>
          <w:rFonts w:hint="eastAsia" w:ascii="仿宋" w:hAnsi="仿宋" w:eastAsia="仿宋" w:cs="仿宋"/>
          <w:b/>
          <w:bCs/>
          <w:sz w:val="30"/>
          <w:szCs w:val="30"/>
          <w:lang w:eastAsia="zh-CN"/>
        </w:rPr>
      </w:pPr>
      <w:r>
        <w:rPr>
          <w:rFonts w:hint="eastAsia" w:ascii="仿宋" w:hAnsi="仿宋" w:eastAsia="仿宋" w:cs="仿宋"/>
          <w:b/>
          <w:bCs/>
          <w:sz w:val="30"/>
          <w:szCs w:val="30"/>
        </w:rPr>
        <w:t>（三）项目支出产出情况</w:t>
      </w:r>
    </w:p>
    <w:p>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项目产出包括产出数量、产出质量、产出时效和产出成本。该项满分为25分，扣3.06分，得分21.94分。</w:t>
      </w:r>
    </w:p>
    <w:p>
      <w:pPr>
        <w:spacing w:line="560" w:lineRule="exact"/>
        <w:ind w:firstLine="602" w:firstLineChars="200"/>
        <w:rPr>
          <w:rFonts w:hint="eastAsia" w:ascii="楷体" w:hAnsi="楷体" w:eastAsia="楷体" w:cs="楷体"/>
          <w:b/>
          <w:bCs/>
          <w:sz w:val="30"/>
          <w:szCs w:val="30"/>
          <w:lang w:val="en-US" w:eastAsia="zh-CN"/>
        </w:rPr>
      </w:pPr>
      <w:r>
        <w:rPr>
          <w:rFonts w:hint="eastAsia" w:ascii="楷体" w:hAnsi="楷体" w:eastAsia="楷体" w:cs="楷体"/>
          <w:b/>
          <w:bCs/>
          <w:sz w:val="30"/>
          <w:szCs w:val="30"/>
          <w:lang w:val="en-US" w:eastAsia="zh-CN"/>
        </w:rPr>
        <w:t>1、产出数量</w:t>
      </w:r>
    </w:p>
    <w:p>
      <w:pPr>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一期工程已完成珑湖污水提升泵站至红旗渠污水处理厂6.0km污水压力管建设，完成珑湖污水提升泵站改造，污水处理率98%，扣0.06分；二期工程已完成约4.5km雨污分流管网改造，完工率约80%。2、产出质量项目按照计划要求采购污水管等材料，独立委托工程监理公司全称监控施工质量，发现问题及时整改。一期工程完工后，项目单位组织住建局、城管局、规划局及有关专家进行验收，符合质量要求后投入使用，工程质量达标率100%，目前一期项目运行良好，污水处理水质达标率100%。</w:t>
      </w:r>
    </w:p>
    <w:p>
      <w:pPr>
        <w:spacing w:line="560" w:lineRule="exact"/>
        <w:ind w:firstLine="602" w:firstLineChars="200"/>
        <w:rPr>
          <w:rFonts w:hint="eastAsia" w:ascii="楷体" w:hAnsi="楷体" w:eastAsia="楷体" w:cs="楷体"/>
          <w:b/>
          <w:bCs/>
          <w:sz w:val="30"/>
          <w:szCs w:val="30"/>
          <w:lang w:val="en-US" w:eastAsia="zh-CN"/>
        </w:rPr>
      </w:pPr>
      <w:r>
        <w:rPr>
          <w:rFonts w:hint="eastAsia" w:ascii="楷体" w:hAnsi="楷体" w:eastAsia="楷体" w:cs="楷体"/>
          <w:b/>
          <w:bCs/>
          <w:sz w:val="30"/>
          <w:szCs w:val="30"/>
          <w:lang w:val="en-US" w:eastAsia="zh-CN"/>
        </w:rPr>
        <w:t>2、产出时效</w:t>
      </w:r>
    </w:p>
    <w:p>
      <w:pPr>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经初步估算，项目二期会比计划的2022年9月晚3个月竣工，扣1.5分。3、产出成本项目存在调整，一期已完工，二期正在建设，预计产出成本不会超出概算。</w:t>
      </w:r>
    </w:p>
    <w:p>
      <w:pPr>
        <w:spacing w:line="560" w:lineRule="exact"/>
        <w:ind w:firstLine="602" w:firstLineChars="200"/>
        <w:rPr>
          <w:rFonts w:hint="eastAsia" w:ascii="仿宋" w:hAnsi="仿宋" w:eastAsia="仿宋" w:cs="仿宋"/>
          <w:b/>
          <w:bCs/>
          <w:sz w:val="30"/>
          <w:szCs w:val="30"/>
          <w:lang w:eastAsia="zh-CN"/>
        </w:rPr>
      </w:pPr>
      <w:r>
        <w:rPr>
          <w:rFonts w:hint="eastAsia" w:ascii="仿宋" w:hAnsi="仿宋" w:eastAsia="仿宋" w:cs="仿宋"/>
          <w:b/>
          <w:bCs/>
          <w:sz w:val="30"/>
          <w:szCs w:val="30"/>
        </w:rPr>
        <w:t>（四）项目支出效益情况</w:t>
      </w:r>
    </w:p>
    <w:p>
      <w:pPr>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项目支出效益包括实施效益、可持续影响和满意度。该项满分为16分，扣1.19分，得分14.81分。</w:t>
      </w:r>
    </w:p>
    <w:p>
      <w:pPr>
        <w:spacing w:line="560" w:lineRule="exact"/>
        <w:ind w:firstLine="602" w:firstLineChars="200"/>
        <w:rPr>
          <w:rFonts w:hint="eastAsia" w:ascii="楷体" w:hAnsi="楷体" w:eastAsia="楷体" w:cs="楷体"/>
          <w:b/>
          <w:bCs/>
          <w:sz w:val="30"/>
          <w:szCs w:val="30"/>
          <w:lang w:eastAsia="zh-CN"/>
        </w:rPr>
      </w:pPr>
      <w:r>
        <w:rPr>
          <w:rFonts w:hint="eastAsia" w:ascii="楷体" w:hAnsi="楷体" w:eastAsia="楷体" w:cs="楷体"/>
          <w:b/>
          <w:bCs/>
          <w:sz w:val="30"/>
          <w:szCs w:val="30"/>
        </w:rPr>
        <w:t>1、实施效益</w:t>
      </w:r>
    </w:p>
    <w:p>
      <w:pPr>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项目实施优化了全市污水处理效能。红旗渠污水厂污水处理量由原4万吨每日提升至现6万吨每日，市本级污水集中收集率也由原来的58.77%提升至70.3%。项目整体实施效益较好，扣1分。</w:t>
      </w:r>
    </w:p>
    <w:p>
      <w:pPr>
        <w:spacing w:line="560" w:lineRule="exact"/>
        <w:ind w:firstLine="602" w:firstLineChars="200"/>
        <w:rPr>
          <w:rFonts w:hint="eastAsia" w:ascii="楷体" w:hAnsi="楷体" w:eastAsia="楷体" w:cs="楷体"/>
          <w:b/>
          <w:bCs/>
          <w:sz w:val="30"/>
          <w:szCs w:val="30"/>
          <w:lang w:eastAsia="zh-CN"/>
        </w:rPr>
      </w:pPr>
      <w:r>
        <w:rPr>
          <w:rFonts w:hint="eastAsia" w:ascii="楷体" w:hAnsi="楷体" w:eastAsia="楷体" w:cs="楷体"/>
          <w:b/>
          <w:bCs/>
          <w:sz w:val="30"/>
          <w:szCs w:val="30"/>
        </w:rPr>
        <w:t>2、可持续影响</w:t>
      </w:r>
    </w:p>
    <w:p>
      <w:pPr>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项目实施持续提升邵阳城市形象和影响力，对推动区域发展起到积极支撑作用。</w:t>
      </w:r>
    </w:p>
    <w:p>
      <w:pPr>
        <w:spacing w:line="560" w:lineRule="exact"/>
        <w:ind w:firstLine="602" w:firstLineChars="200"/>
        <w:rPr>
          <w:rFonts w:hint="eastAsia" w:ascii="楷体" w:hAnsi="楷体" w:eastAsia="楷体" w:cs="楷体"/>
          <w:b/>
          <w:bCs/>
          <w:sz w:val="30"/>
          <w:szCs w:val="30"/>
          <w:lang w:eastAsia="zh-CN"/>
        </w:rPr>
      </w:pPr>
      <w:r>
        <w:rPr>
          <w:rFonts w:hint="eastAsia" w:ascii="楷体" w:hAnsi="楷体" w:eastAsia="楷体" w:cs="楷体"/>
          <w:b/>
          <w:bCs/>
          <w:sz w:val="30"/>
          <w:szCs w:val="30"/>
        </w:rPr>
        <w:t>3、满意度</w:t>
      </w:r>
    </w:p>
    <w:p>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评价组对项目周边居民发放关于满意度的纸质调查问卷，发放问卷30份，收回30份。根据问卷调查选项汇总统计，项目整体满意度为96.11%，扣0.19分。</w:t>
      </w:r>
    </w:p>
    <w:p>
      <w:pPr>
        <w:spacing w:line="560" w:lineRule="exact"/>
        <w:ind w:firstLine="600" w:firstLineChars="200"/>
        <w:rPr>
          <w:rFonts w:hint="eastAsia" w:ascii="黑体" w:hAnsi="黑体" w:eastAsia="黑体" w:cs="黑体"/>
          <w:sz w:val="30"/>
          <w:szCs w:val="30"/>
          <w:lang w:eastAsia="zh-CN"/>
        </w:rPr>
      </w:pPr>
      <w:r>
        <w:rPr>
          <w:rFonts w:hint="eastAsia" w:ascii="黑体" w:hAnsi="黑体" w:eastAsia="黑体" w:cs="黑体"/>
          <w:sz w:val="30"/>
          <w:szCs w:val="30"/>
        </w:rPr>
        <w:t>五、存在的问题及原因分析</w:t>
      </w:r>
    </w:p>
    <w:p>
      <w:pPr>
        <w:spacing w:line="560" w:lineRule="exact"/>
        <w:ind w:firstLine="602" w:firstLineChars="200"/>
        <w:rPr>
          <w:rFonts w:hint="eastAsia" w:ascii="仿宋" w:hAnsi="仿宋" w:eastAsia="仿宋" w:cs="仿宋"/>
          <w:b/>
          <w:bCs/>
          <w:sz w:val="30"/>
          <w:szCs w:val="30"/>
        </w:rPr>
      </w:pPr>
      <w:r>
        <w:rPr>
          <w:rFonts w:hint="eastAsia" w:ascii="仿宋" w:hAnsi="仿宋" w:eastAsia="仿宋" w:cs="仿宋"/>
          <w:b/>
          <w:bCs/>
          <w:sz w:val="30"/>
          <w:szCs w:val="30"/>
        </w:rPr>
        <w:t>（一）项目决策方面存在的问题</w:t>
      </w:r>
    </w:p>
    <w:p>
      <w:pPr>
        <w:spacing w:line="560" w:lineRule="exact"/>
        <w:ind w:firstLine="602" w:firstLineChars="200"/>
        <w:rPr>
          <w:rFonts w:hint="eastAsia" w:ascii="仿宋" w:hAnsi="仿宋" w:eastAsia="仿宋" w:cs="仿宋"/>
          <w:sz w:val="30"/>
          <w:szCs w:val="30"/>
        </w:rPr>
      </w:pPr>
      <w:r>
        <w:rPr>
          <w:rFonts w:hint="eastAsia" w:ascii="楷体" w:hAnsi="楷体" w:eastAsia="楷体" w:cs="楷体"/>
          <w:b/>
          <w:bCs/>
          <w:sz w:val="30"/>
          <w:szCs w:val="30"/>
        </w:rPr>
        <w:t>1、未编报项目预算绩效目标。</w:t>
      </w:r>
      <w:r>
        <w:rPr>
          <w:rFonts w:hint="eastAsia" w:ascii="仿宋" w:hAnsi="仿宋" w:eastAsia="仿宋" w:cs="仿宋"/>
          <w:sz w:val="30"/>
          <w:szCs w:val="30"/>
        </w:rPr>
        <w:t>项目主管单位与实施单位未针对本项目及时编报整体绩效目标和年度绩效目标，未设置清晰、可衡量、反映产出效益和效果的的目标指标值。</w:t>
      </w:r>
    </w:p>
    <w:p>
      <w:pPr>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主要原因：项目主管单位与实施单位的预算绩效目标管理意识不强，对预算绩效目标管理工作重视不够。</w:t>
      </w:r>
    </w:p>
    <w:p>
      <w:pPr>
        <w:spacing w:line="560" w:lineRule="exact"/>
        <w:ind w:firstLine="602" w:firstLineChars="200"/>
        <w:rPr>
          <w:rFonts w:hint="eastAsia" w:ascii="仿宋" w:hAnsi="仿宋" w:eastAsia="仿宋" w:cs="仿宋"/>
          <w:sz w:val="30"/>
          <w:szCs w:val="30"/>
        </w:rPr>
      </w:pPr>
      <w:r>
        <w:rPr>
          <w:rFonts w:hint="eastAsia" w:ascii="楷体" w:hAnsi="楷体" w:eastAsia="楷体" w:cs="楷体"/>
          <w:b/>
          <w:bCs/>
          <w:sz w:val="30"/>
          <w:szCs w:val="30"/>
        </w:rPr>
        <w:t>2、项目申报名称与本项目名称不一致，资金安排不匹配。</w:t>
      </w:r>
      <w:r>
        <w:rPr>
          <w:rFonts w:hint="eastAsia" w:ascii="仿宋" w:hAnsi="仿宋" w:eastAsia="仿宋" w:cs="仿宋"/>
          <w:sz w:val="30"/>
          <w:szCs w:val="30"/>
        </w:rPr>
        <w:t>项目申请专项债的名称是“邵阳市大祥区南片区雨污分流及红旗渠污水处理厂调水工程”，项目概算总投资为12,218.41万元，本项目名为“邵阳市红旗渠污水厂扩建提标、管网改造及修复和雨溪片区雨污分流调水工程”，仅为前述项目的一个分项目，以专项债券资金6,800万元实施，且邵阳市红旗渠污水厂扩建提标工程未以专项债券资金建设。</w:t>
      </w:r>
    </w:p>
    <w:p>
      <w:pPr>
        <w:spacing w:line="5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主要原因：项目单位对专项债券申报政策了解不够，想多申报项目多争取资金。</w:t>
      </w:r>
    </w:p>
    <w:p>
      <w:pPr>
        <w:spacing w:line="560" w:lineRule="exact"/>
        <w:ind w:firstLine="602" w:firstLineChars="200"/>
        <w:rPr>
          <w:rFonts w:hint="eastAsia" w:ascii="仿宋" w:hAnsi="仿宋" w:eastAsia="仿宋" w:cs="仿宋"/>
          <w:b/>
          <w:bCs/>
          <w:sz w:val="30"/>
          <w:szCs w:val="30"/>
        </w:rPr>
      </w:pPr>
      <w:r>
        <w:rPr>
          <w:rFonts w:hint="eastAsia" w:ascii="仿宋" w:hAnsi="仿宋" w:eastAsia="仿宋" w:cs="仿宋"/>
          <w:b/>
          <w:bCs/>
          <w:sz w:val="30"/>
          <w:szCs w:val="30"/>
        </w:rPr>
        <w:t>（二）项目实施过程方面存在的问题</w:t>
      </w:r>
    </w:p>
    <w:p>
      <w:pPr>
        <w:spacing w:line="560" w:lineRule="exact"/>
        <w:ind w:firstLine="602" w:firstLineChars="200"/>
        <w:rPr>
          <w:rFonts w:hint="eastAsia" w:ascii="仿宋" w:hAnsi="仿宋" w:eastAsia="仿宋" w:cs="仿宋"/>
          <w:sz w:val="30"/>
          <w:szCs w:val="30"/>
        </w:rPr>
      </w:pPr>
      <w:r>
        <w:rPr>
          <w:rFonts w:hint="eastAsia" w:ascii="楷体" w:hAnsi="楷体" w:eastAsia="楷体" w:cs="楷体"/>
          <w:b/>
          <w:bCs/>
          <w:sz w:val="30"/>
          <w:szCs w:val="30"/>
        </w:rPr>
        <w:t>1、预算执行率偏低。</w:t>
      </w:r>
      <w:r>
        <w:rPr>
          <w:rFonts w:hint="eastAsia" w:ascii="仿宋" w:hAnsi="仿宋" w:eastAsia="仿宋" w:cs="仿宋"/>
          <w:sz w:val="30"/>
          <w:szCs w:val="30"/>
        </w:rPr>
        <w:t>至2022年8月10日，共支付工程款38,855,628.46元，预算完成率为57.14%。</w:t>
      </w:r>
    </w:p>
    <w:p>
      <w:pPr>
        <w:spacing w:line="560" w:lineRule="exact"/>
        <w:ind w:firstLine="600" w:firstLineChars="200"/>
        <w:rPr>
          <w:rFonts w:hint="eastAsia" w:ascii="仿宋" w:hAnsi="仿宋" w:eastAsia="仿宋" w:cs="仿宋"/>
          <w:sz w:val="30"/>
          <w:szCs w:val="30"/>
          <w:lang w:eastAsia="zh-CN"/>
        </w:rPr>
      </w:pPr>
      <w:bookmarkStart w:id="0" w:name="_GoBack"/>
      <w:bookmarkEnd w:id="0"/>
      <w:r>
        <w:rPr>
          <w:rFonts w:hint="eastAsia" w:ascii="仿宋" w:hAnsi="仿宋" w:eastAsia="仿宋" w:cs="仿宋"/>
          <w:sz w:val="30"/>
          <w:szCs w:val="30"/>
        </w:rPr>
        <w:t>主要原因：一是项目开工前期准备工作延误了进度；二是因气候原因导致可政策施工的天数减少；三是专项债支付审批流程较多，导致工程款结算有所滞后。</w:t>
      </w:r>
    </w:p>
    <w:p>
      <w:pPr>
        <w:spacing w:line="560" w:lineRule="exact"/>
        <w:ind w:firstLine="602" w:firstLineChars="200"/>
        <w:rPr>
          <w:rFonts w:hint="eastAsia" w:ascii="仿宋" w:hAnsi="仿宋" w:eastAsia="仿宋" w:cs="仿宋"/>
          <w:sz w:val="30"/>
          <w:szCs w:val="30"/>
        </w:rPr>
      </w:pPr>
      <w:r>
        <w:rPr>
          <w:rFonts w:hint="eastAsia" w:ascii="楷体" w:hAnsi="楷体" w:eastAsia="楷体" w:cs="楷体"/>
          <w:b/>
          <w:bCs/>
          <w:sz w:val="30"/>
          <w:szCs w:val="30"/>
        </w:rPr>
        <w:t>2、项目专账核算不精准。</w:t>
      </w:r>
      <w:r>
        <w:rPr>
          <w:rFonts w:hint="eastAsia" w:ascii="仿宋" w:hAnsi="仿宋" w:eastAsia="仿宋" w:cs="仿宋"/>
          <w:sz w:val="30"/>
          <w:szCs w:val="30"/>
        </w:rPr>
        <w:t>2020年7元至2022年4月，项目单位市环卫设建公司以经费户工作经费支付项目部现场补贴93,500元，支付项目租车费4,500元，计入专项债券核算专户“待摊投资-建设单位管理费-工资及工资附加”，导致专账核算数据有误。</w:t>
      </w:r>
    </w:p>
    <w:p>
      <w:pPr>
        <w:spacing w:line="560" w:lineRule="exact"/>
        <w:ind w:firstLine="602" w:firstLineChars="200"/>
        <w:rPr>
          <w:rFonts w:hint="eastAsia" w:ascii="仿宋" w:hAnsi="仿宋" w:eastAsia="仿宋" w:cs="仿宋"/>
          <w:sz w:val="30"/>
          <w:szCs w:val="30"/>
          <w:lang w:eastAsia="zh-CN"/>
        </w:rPr>
      </w:pPr>
      <w:r>
        <w:rPr>
          <w:rFonts w:hint="eastAsia" w:ascii="楷体" w:hAnsi="楷体" w:eastAsia="楷体" w:cs="楷体"/>
          <w:b/>
          <w:bCs/>
          <w:sz w:val="30"/>
          <w:szCs w:val="30"/>
        </w:rPr>
        <w:t>3、项目一期调整比例较大，变更手续未履行。</w:t>
      </w:r>
      <w:r>
        <w:rPr>
          <w:rFonts w:hint="eastAsia" w:ascii="仿宋" w:hAnsi="仿宋" w:eastAsia="仿宋" w:cs="仿宋"/>
          <w:sz w:val="30"/>
          <w:szCs w:val="30"/>
        </w:rPr>
        <w:t>申报的大项目中，一期取消建设高级技工学校一体化泵站（3000m³/d），取消建设高级技工学校一体化泵站至市政污水管网污水压力管，管径DN300mm，管长约1.0km。</w:t>
      </w:r>
    </w:p>
    <w:p>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主要原因：项目一期前期准备工作仓促，高级技工学校一体化泵站建设用地已出让建设住宅小区，开发商不愿腾地，导致项目被迫取消。</w:t>
      </w:r>
    </w:p>
    <w:p>
      <w:pPr>
        <w:spacing w:line="560" w:lineRule="exact"/>
        <w:ind w:firstLine="600" w:firstLineChars="200"/>
        <w:rPr>
          <w:rFonts w:hint="eastAsia" w:ascii="黑体" w:hAnsi="黑体" w:eastAsia="黑体" w:cs="黑体"/>
          <w:sz w:val="30"/>
          <w:szCs w:val="30"/>
          <w:lang w:eastAsia="zh-CN"/>
        </w:rPr>
      </w:pPr>
      <w:r>
        <w:rPr>
          <w:rFonts w:hint="eastAsia" w:ascii="黑体" w:hAnsi="黑体" w:eastAsia="黑体" w:cs="黑体"/>
          <w:sz w:val="30"/>
          <w:szCs w:val="30"/>
        </w:rPr>
        <w:t>六、有关建议</w:t>
      </w:r>
    </w:p>
    <w:p>
      <w:pPr>
        <w:spacing w:line="560" w:lineRule="exact"/>
        <w:ind w:firstLine="602" w:firstLineChars="200"/>
        <w:rPr>
          <w:rFonts w:hint="eastAsia" w:ascii="仿宋" w:hAnsi="仿宋" w:eastAsia="仿宋" w:cs="仿宋"/>
          <w:sz w:val="30"/>
          <w:szCs w:val="30"/>
        </w:rPr>
      </w:pPr>
      <w:r>
        <w:rPr>
          <w:rFonts w:hint="eastAsia" w:ascii="仿宋" w:hAnsi="仿宋" w:eastAsia="仿宋" w:cs="仿宋"/>
          <w:b/>
          <w:bCs/>
          <w:sz w:val="30"/>
          <w:szCs w:val="30"/>
        </w:rPr>
        <w:t>（一）增强绩效管理意识，提升绩效管理水平。</w:t>
      </w:r>
      <w:r>
        <w:rPr>
          <w:rFonts w:hint="eastAsia" w:ascii="仿宋" w:hAnsi="仿宋" w:eastAsia="仿宋" w:cs="仿宋"/>
          <w:sz w:val="30"/>
          <w:szCs w:val="30"/>
        </w:rPr>
        <w:t>学习并领会《中共中央国务院关于全面实施预算绩效管理的意见》和各级财政部门对预算绩效管理的制度、办法等规定，严格按照绩效管理有关要求，落实绩效管理主体责任，做好绩效管理目标申报、自评、公开等各个环节的工作。(二)加强项目施工管理，确保工程如期完工。项目单位、施工单位、监理单位要通力合作，协作保进度、保工程款支付，按时按质按量完成项目建设，发挥项目资金最大效能。</w:t>
      </w:r>
    </w:p>
    <w:p>
      <w:pPr>
        <w:spacing w:line="560" w:lineRule="exact"/>
        <w:ind w:firstLine="602" w:firstLineChars="200"/>
        <w:rPr>
          <w:rFonts w:hint="eastAsia" w:ascii="仿宋" w:hAnsi="仿宋" w:eastAsia="仿宋" w:cs="仿宋"/>
          <w:sz w:val="30"/>
          <w:szCs w:val="30"/>
        </w:rPr>
      </w:pPr>
      <w:r>
        <w:rPr>
          <w:rFonts w:hint="eastAsia" w:ascii="仿宋" w:hAnsi="仿宋" w:eastAsia="仿宋" w:cs="仿宋"/>
          <w:b/>
          <w:bCs/>
          <w:sz w:val="30"/>
          <w:szCs w:val="30"/>
        </w:rPr>
        <w:t>(三)规范会计核算，专项资金专项核算。</w:t>
      </w:r>
      <w:r>
        <w:rPr>
          <w:rFonts w:hint="eastAsia" w:ascii="仿宋" w:hAnsi="仿宋" w:eastAsia="仿宋" w:cs="仿宋"/>
          <w:sz w:val="30"/>
          <w:szCs w:val="30"/>
        </w:rPr>
        <w:t>加强业务知识及相关法律法规、制度的学习，提高业务知识水平和操作技能，熟练掌握专项资金会计核算，确保专项支出得到真实、准确的反映，避免出现会计科目或业务数据错误的现象。</w:t>
      </w:r>
    </w:p>
    <w:p>
      <w:pPr>
        <w:spacing w:line="560" w:lineRule="exact"/>
        <w:ind w:firstLine="602" w:firstLineChars="200"/>
        <w:rPr>
          <w:rFonts w:hint="eastAsia" w:ascii="仿宋" w:hAnsi="仿宋" w:eastAsia="仿宋" w:cs="仿宋"/>
          <w:sz w:val="30"/>
          <w:szCs w:val="30"/>
        </w:rPr>
      </w:pPr>
      <w:r>
        <w:rPr>
          <w:rFonts w:hint="eastAsia" w:ascii="仿宋" w:hAnsi="仿宋" w:eastAsia="仿宋" w:cs="仿宋"/>
          <w:b/>
          <w:bCs/>
          <w:sz w:val="30"/>
          <w:szCs w:val="30"/>
        </w:rPr>
        <w:t>(四)妥善落实项目建设条件，减少项目随意调整。</w:t>
      </w:r>
      <w:r>
        <w:rPr>
          <w:rFonts w:hint="eastAsia" w:ascii="仿宋" w:hAnsi="仿宋" w:eastAsia="仿宋" w:cs="仿宋"/>
          <w:sz w:val="30"/>
          <w:szCs w:val="30"/>
        </w:rPr>
        <w:t>做好做细项目开工前期准备，综合考虑项目用地、拆迁、资金、报建、设计、施工等各方面必要要素，各要素齐备后开工。如遇特殊情况需要调整建设内容，需按政策规定向发改等部门提交变更申请。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lNTM2OTM0NmYwMDMwOWM3NjBlYWQ3NzM1NTdjZjYifQ=="/>
  </w:docVars>
  <w:rsids>
    <w:rsidRoot w:val="0EB37A32"/>
    <w:rsid w:val="0EB3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2024-09-04T00:49:00Z</dcterms:created>
  <dc:creator>1402836399</dc:creator>
  <cp:lastModifiedBy>1402836399</cp:lastModifiedBy>
  <dcterms:modified xsi:type="dcterms:W3CDTF">2024-09-04T01:13:36Z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0899443E32FD4763B579DCCF7184B4FB</vt:lpwstr>
  </property>
</Properties>
</file>